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AE" w:rsidRPr="00E366AE" w:rsidRDefault="00E366AE" w:rsidP="001063FB">
      <w:pPr>
        <w:widowControl w:val="0"/>
        <w:spacing w:line="350" w:lineRule="atLeast"/>
        <w:rPr>
          <w:sz w:val="28"/>
        </w:rPr>
      </w:pPr>
      <w:bookmarkStart w:id="0" w:name="_GoBack"/>
      <w:bookmarkEnd w:id="0"/>
    </w:p>
    <w:p w:rsidR="00E366AE" w:rsidRPr="00E366AE" w:rsidRDefault="00E366AE" w:rsidP="001063FB">
      <w:pPr>
        <w:widowControl w:val="0"/>
        <w:spacing w:line="350" w:lineRule="atLeast"/>
        <w:rPr>
          <w:sz w:val="28"/>
        </w:rPr>
      </w:pPr>
    </w:p>
    <w:p w:rsidR="00E366AE" w:rsidRPr="00E366AE" w:rsidRDefault="00E366AE" w:rsidP="001063FB">
      <w:pPr>
        <w:widowControl w:val="0"/>
        <w:spacing w:line="350" w:lineRule="atLeast"/>
        <w:rPr>
          <w:sz w:val="28"/>
        </w:rPr>
      </w:pPr>
    </w:p>
    <w:p w:rsidR="00E366AE" w:rsidRPr="00E366AE" w:rsidRDefault="00E366AE" w:rsidP="001063FB">
      <w:pPr>
        <w:widowControl w:val="0"/>
        <w:spacing w:line="350" w:lineRule="atLeast"/>
        <w:rPr>
          <w:sz w:val="28"/>
        </w:rPr>
      </w:pPr>
    </w:p>
    <w:p w:rsidR="00E366AE" w:rsidRPr="00E366AE" w:rsidRDefault="00E366AE" w:rsidP="001063FB">
      <w:pPr>
        <w:widowControl w:val="0"/>
        <w:spacing w:line="350" w:lineRule="atLeast"/>
        <w:rPr>
          <w:sz w:val="28"/>
        </w:rPr>
      </w:pPr>
    </w:p>
    <w:p w:rsidR="00E366AE" w:rsidRPr="00E366AE" w:rsidRDefault="00E366AE" w:rsidP="001063FB">
      <w:pPr>
        <w:widowControl w:val="0"/>
        <w:spacing w:line="350" w:lineRule="atLeast"/>
        <w:rPr>
          <w:sz w:val="28"/>
        </w:rPr>
      </w:pPr>
    </w:p>
    <w:p w:rsidR="00E366AE" w:rsidRPr="00E366AE" w:rsidRDefault="00E366AE" w:rsidP="001063FB">
      <w:pPr>
        <w:widowControl w:val="0"/>
        <w:spacing w:line="350" w:lineRule="atLeast"/>
        <w:rPr>
          <w:sz w:val="28"/>
        </w:rPr>
      </w:pPr>
    </w:p>
    <w:p w:rsidR="00950F6E" w:rsidRPr="00E366AE" w:rsidRDefault="00950F6E" w:rsidP="001063FB">
      <w:pPr>
        <w:widowControl w:val="0"/>
        <w:spacing w:line="350" w:lineRule="atLeast"/>
        <w:rPr>
          <w:sz w:val="28"/>
        </w:rPr>
      </w:pPr>
      <w:r w:rsidRPr="00E366AE">
        <w:rPr>
          <w:sz w:val="28"/>
        </w:rPr>
        <w:t>L’AUTORITÀ GARANTE DELLA CONCORRENZA E DEL MERCATO</w:t>
      </w:r>
    </w:p>
    <w:p w:rsidR="00950F6E" w:rsidRPr="00E366AE" w:rsidRDefault="00950F6E" w:rsidP="001063FB">
      <w:pPr>
        <w:widowControl w:val="0"/>
        <w:spacing w:line="350" w:lineRule="atLeast"/>
        <w:rPr>
          <w:sz w:val="28"/>
        </w:rPr>
      </w:pPr>
    </w:p>
    <w:p w:rsidR="00950F6E" w:rsidRPr="00E366AE" w:rsidRDefault="00950F6E" w:rsidP="001063FB">
      <w:pPr>
        <w:widowControl w:val="0"/>
        <w:shd w:val="clear" w:color="auto" w:fill="FFFFFF" w:themeFill="background1"/>
        <w:spacing w:line="350" w:lineRule="atLeast"/>
        <w:rPr>
          <w:sz w:val="28"/>
        </w:rPr>
      </w:pPr>
      <w:r w:rsidRPr="00E366AE">
        <w:rPr>
          <w:sz w:val="28"/>
        </w:rPr>
        <w:t>NELLA SUA ADUNANZA del</w:t>
      </w:r>
      <w:r w:rsidR="00E366AE">
        <w:rPr>
          <w:sz w:val="28"/>
        </w:rPr>
        <w:t xml:space="preserve"> </w:t>
      </w:r>
      <w:r w:rsidR="00572807" w:rsidRPr="00E366AE">
        <w:rPr>
          <w:sz w:val="28"/>
        </w:rPr>
        <w:t>9 aprile</w:t>
      </w:r>
      <w:r w:rsidR="00F0526A" w:rsidRPr="00E366AE">
        <w:rPr>
          <w:sz w:val="28"/>
        </w:rPr>
        <w:t xml:space="preserve"> </w:t>
      </w:r>
      <w:r w:rsidRPr="00E366AE">
        <w:rPr>
          <w:sz w:val="28"/>
        </w:rPr>
        <w:t>2014;</w:t>
      </w:r>
    </w:p>
    <w:p w:rsidR="00950F6E" w:rsidRPr="00E366AE" w:rsidRDefault="00950F6E" w:rsidP="001063FB">
      <w:pPr>
        <w:widowControl w:val="0"/>
        <w:spacing w:line="350" w:lineRule="atLeast"/>
        <w:rPr>
          <w:sz w:val="28"/>
        </w:rPr>
      </w:pPr>
    </w:p>
    <w:p w:rsidR="00950F6E" w:rsidRPr="00E366AE" w:rsidRDefault="00950F6E" w:rsidP="001063FB">
      <w:pPr>
        <w:widowControl w:val="0"/>
        <w:spacing w:line="350" w:lineRule="atLeast"/>
        <w:rPr>
          <w:sz w:val="28"/>
        </w:rPr>
      </w:pPr>
      <w:r w:rsidRPr="00E366AE">
        <w:rPr>
          <w:sz w:val="28"/>
        </w:rPr>
        <w:t xml:space="preserve">SENTITO il Relatore Dottor Salvatore </w:t>
      </w:r>
      <w:proofErr w:type="spellStart"/>
      <w:r w:rsidRPr="00E366AE">
        <w:rPr>
          <w:sz w:val="28"/>
        </w:rPr>
        <w:t>Rebecchini</w:t>
      </w:r>
      <w:proofErr w:type="spellEnd"/>
      <w:r w:rsidRPr="00E366AE">
        <w:rPr>
          <w:sz w:val="28"/>
        </w:rPr>
        <w:t>;</w:t>
      </w:r>
    </w:p>
    <w:p w:rsidR="00950F6E" w:rsidRPr="00E366AE" w:rsidRDefault="00950F6E" w:rsidP="001063FB">
      <w:pPr>
        <w:widowControl w:val="0"/>
        <w:spacing w:line="350" w:lineRule="atLeast"/>
        <w:rPr>
          <w:sz w:val="28"/>
        </w:rPr>
      </w:pPr>
    </w:p>
    <w:p w:rsidR="00950F6E" w:rsidRPr="00E366AE" w:rsidRDefault="00950F6E" w:rsidP="001063FB">
      <w:pPr>
        <w:widowControl w:val="0"/>
        <w:spacing w:line="350" w:lineRule="atLeast"/>
        <w:rPr>
          <w:sz w:val="28"/>
        </w:rPr>
      </w:pPr>
      <w:r w:rsidRPr="00E366AE">
        <w:rPr>
          <w:sz w:val="28"/>
        </w:rPr>
        <w:t xml:space="preserve">VISTA la legge 10 ottobre 1990, </w:t>
      </w:r>
      <w:r w:rsidR="00E366AE">
        <w:rPr>
          <w:sz w:val="28"/>
        </w:rPr>
        <w:t>n. 287</w:t>
      </w:r>
      <w:r w:rsidRPr="00E366AE">
        <w:rPr>
          <w:sz w:val="28"/>
        </w:rPr>
        <w:t>;</w:t>
      </w:r>
    </w:p>
    <w:p w:rsidR="00572807" w:rsidRPr="00E366AE" w:rsidRDefault="00572807" w:rsidP="001063FB">
      <w:pPr>
        <w:widowControl w:val="0"/>
        <w:spacing w:line="350" w:lineRule="atLeast"/>
        <w:rPr>
          <w:sz w:val="28"/>
        </w:rPr>
      </w:pPr>
    </w:p>
    <w:p w:rsidR="00572807" w:rsidRPr="00E366AE" w:rsidRDefault="00572807" w:rsidP="001063FB">
      <w:pPr>
        <w:widowControl w:val="0"/>
        <w:spacing w:line="350" w:lineRule="atLeast"/>
        <w:rPr>
          <w:sz w:val="28"/>
        </w:rPr>
      </w:pPr>
      <w:r w:rsidRPr="00E366AE">
        <w:rPr>
          <w:sz w:val="28"/>
        </w:rPr>
        <w:t>VISTO l’articolo 101 del Trattato sul Funzionamento dell’Unione Europea (TFUE);</w:t>
      </w:r>
    </w:p>
    <w:p w:rsidR="00572807" w:rsidRPr="00E366AE" w:rsidRDefault="00572807" w:rsidP="001063FB">
      <w:pPr>
        <w:widowControl w:val="0"/>
        <w:spacing w:line="350" w:lineRule="atLeast"/>
        <w:rPr>
          <w:sz w:val="28"/>
        </w:rPr>
      </w:pPr>
    </w:p>
    <w:p w:rsidR="00572807" w:rsidRPr="00E366AE" w:rsidRDefault="00572807" w:rsidP="001063FB">
      <w:pPr>
        <w:widowControl w:val="0"/>
        <w:spacing w:line="350" w:lineRule="atLeast"/>
        <w:rPr>
          <w:sz w:val="28"/>
        </w:rPr>
      </w:pPr>
      <w:r w:rsidRPr="00E366AE">
        <w:rPr>
          <w:sz w:val="28"/>
        </w:rPr>
        <w:t>VISTO il Regolamento n. 1/2003 del Consiglio del 16 dicembre 2002, concernente l’applicazione delle regole di concorrenza di cui agli articoli 81 e 82 del Trattato CE (ora 101 e 102 TFUE);</w:t>
      </w:r>
    </w:p>
    <w:p w:rsidR="00950F6E" w:rsidRPr="00E366AE" w:rsidRDefault="00950F6E" w:rsidP="001063FB">
      <w:pPr>
        <w:widowControl w:val="0"/>
        <w:spacing w:line="350" w:lineRule="atLeast"/>
        <w:rPr>
          <w:sz w:val="28"/>
        </w:rPr>
      </w:pPr>
    </w:p>
    <w:p w:rsidR="00950F6E" w:rsidRPr="00E366AE" w:rsidRDefault="00950F6E" w:rsidP="001063FB">
      <w:pPr>
        <w:widowControl w:val="0"/>
        <w:spacing w:line="350" w:lineRule="atLeast"/>
        <w:rPr>
          <w:sz w:val="28"/>
        </w:rPr>
      </w:pPr>
      <w:r w:rsidRPr="00E366AE">
        <w:rPr>
          <w:sz w:val="28"/>
        </w:rPr>
        <w:t xml:space="preserve">VISTA la segnalazione di </w:t>
      </w:r>
      <w:r w:rsidR="004C437E" w:rsidRPr="00E366AE">
        <w:rPr>
          <w:sz w:val="28"/>
        </w:rPr>
        <w:t xml:space="preserve">Casa Editrice Roberto Spaggiari </w:t>
      </w:r>
      <w:r w:rsidR="00E366AE">
        <w:rPr>
          <w:sz w:val="28"/>
        </w:rPr>
        <w:t>S.p.A.</w:t>
      </w:r>
      <w:r w:rsidRPr="00E366AE">
        <w:rPr>
          <w:sz w:val="28"/>
        </w:rPr>
        <w:t xml:space="preserve">, pervenuta in data </w:t>
      </w:r>
      <w:r w:rsidR="004C437E" w:rsidRPr="00E366AE">
        <w:rPr>
          <w:sz w:val="28"/>
        </w:rPr>
        <w:t>19</w:t>
      </w:r>
      <w:r w:rsidRPr="00E366AE">
        <w:rPr>
          <w:sz w:val="28"/>
        </w:rPr>
        <w:t xml:space="preserve"> </w:t>
      </w:r>
      <w:r w:rsidR="004C437E" w:rsidRPr="00E366AE">
        <w:rPr>
          <w:sz w:val="28"/>
        </w:rPr>
        <w:t>febbraio 2014</w:t>
      </w:r>
      <w:r w:rsidRPr="00E366AE">
        <w:rPr>
          <w:sz w:val="28"/>
        </w:rPr>
        <w:t xml:space="preserve"> e integrata in data </w:t>
      </w:r>
      <w:r w:rsidR="004C437E" w:rsidRPr="00E366AE">
        <w:rPr>
          <w:sz w:val="28"/>
        </w:rPr>
        <w:t>5 marzo 2014</w:t>
      </w:r>
      <w:r w:rsidRPr="00E366AE">
        <w:rPr>
          <w:sz w:val="28"/>
        </w:rPr>
        <w:t>;</w:t>
      </w:r>
    </w:p>
    <w:p w:rsidR="00950F6E" w:rsidRPr="00E366AE" w:rsidRDefault="00950F6E" w:rsidP="001063FB">
      <w:pPr>
        <w:widowControl w:val="0"/>
        <w:spacing w:line="350" w:lineRule="atLeast"/>
        <w:rPr>
          <w:sz w:val="28"/>
        </w:rPr>
      </w:pPr>
    </w:p>
    <w:p w:rsidR="0070711F" w:rsidRPr="00E366AE" w:rsidRDefault="00950F6E" w:rsidP="001063FB">
      <w:pPr>
        <w:widowControl w:val="0"/>
        <w:spacing w:line="350" w:lineRule="atLeast"/>
        <w:rPr>
          <w:sz w:val="28"/>
        </w:rPr>
      </w:pPr>
      <w:r w:rsidRPr="00E366AE">
        <w:rPr>
          <w:sz w:val="28"/>
        </w:rPr>
        <w:t>CONSIDERATO quanto segue:</w:t>
      </w:r>
    </w:p>
    <w:p w:rsidR="004C437E" w:rsidRPr="00E366AE" w:rsidRDefault="004C437E" w:rsidP="001063FB">
      <w:pPr>
        <w:widowControl w:val="0"/>
        <w:spacing w:line="350" w:lineRule="atLeast"/>
        <w:rPr>
          <w:sz w:val="28"/>
        </w:rPr>
      </w:pPr>
    </w:p>
    <w:p w:rsidR="004C437E" w:rsidRPr="00E366AE" w:rsidRDefault="004C437E" w:rsidP="001063FB">
      <w:pPr>
        <w:widowControl w:val="0"/>
        <w:spacing w:line="350" w:lineRule="atLeast"/>
        <w:rPr>
          <w:sz w:val="28"/>
        </w:rPr>
      </w:pPr>
    </w:p>
    <w:p w:rsidR="004C437E" w:rsidRPr="00E366AE" w:rsidRDefault="00E366AE" w:rsidP="001063FB">
      <w:pPr>
        <w:widowControl w:val="0"/>
        <w:spacing w:line="350" w:lineRule="atLeast"/>
        <w:rPr>
          <w:b/>
          <w:sz w:val="28"/>
        </w:rPr>
      </w:pPr>
      <w:r>
        <w:rPr>
          <w:b/>
          <w:sz w:val="28"/>
        </w:rPr>
        <w:t xml:space="preserve">I. </w:t>
      </w:r>
      <w:r w:rsidR="004C437E" w:rsidRPr="00E366AE">
        <w:rPr>
          <w:b/>
          <w:sz w:val="28"/>
        </w:rPr>
        <w:t>LE PARTI</w:t>
      </w:r>
    </w:p>
    <w:p w:rsidR="004C437E" w:rsidRPr="00E366AE" w:rsidRDefault="004C437E" w:rsidP="001063FB">
      <w:pPr>
        <w:widowControl w:val="0"/>
        <w:spacing w:line="350" w:lineRule="atLeast"/>
        <w:rPr>
          <w:sz w:val="28"/>
        </w:rPr>
      </w:pPr>
    </w:p>
    <w:p w:rsidR="004C437E"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C437E" w:rsidRPr="00E366AE">
        <w:rPr>
          <w:sz w:val="28"/>
        </w:rPr>
        <w:t>Argo Software S.r.l. (di seguito, Argo)</w:t>
      </w:r>
      <w:r w:rsidR="00F61A85" w:rsidRPr="00E366AE">
        <w:rPr>
          <w:sz w:val="28"/>
        </w:rPr>
        <w:t xml:space="preserve"> è una società la cui attività principale consiste nello sviluppo e commercializzazione di </w:t>
      </w:r>
      <w:r w:rsidR="00F61A85" w:rsidRPr="00E366AE">
        <w:rPr>
          <w:i/>
          <w:sz w:val="28"/>
        </w:rPr>
        <w:t>software</w:t>
      </w:r>
      <w:r w:rsidR="00F61A85" w:rsidRPr="00E366AE">
        <w:rPr>
          <w:sz w:val="28"/>
        </w:rPr>
        <w:t xml:space="preserve"> </w:t>
      </w:r>
      <w:r w:rsidR="00F84BFE" w:rsidRPr="00E366AE">
        <w:rPr>
          <w:sz w:val="28"/>
        </w:rPr>
        <w:t>per le esigenze delle scuole. Grazie ad una rete di concessionari Argo commercializza i propri prodotti sull’intero territorio nazionale.</w:t>
      </w:r>
    </w:p>
    <w:p w:rsidR="004C437E" w:rsidRPr="00E366AE" w:rsidRDefault="004C437E" w:rsidP="001063FB">
      <w:pPr>
        <w:widowControl w:val="0"/>
        <w:spacing w:line="350" w:lineRule="atLeast"/>
        <w:rPr>
          <w:sz w:val="28"/>
        </w:rPr>
      </w:pPr>
    </w:p>
    <w:p w:rsidR="004C437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proofErr w:type="spellStart"/>
      <w:r w:rsidR="00F74797" w:rsidRPr="00E366AE">
        <w:rPr>
          <w:sz w:val="28"/>
        </w:rPr>
        <w:t>A</w:t>
      </w:r>
      <w:r w:rsidR="00DF3C3B" w:rsidRPr="00E366AE">
        <w:rPr>
          <w:sz w:val="28"/>
        </w:rPr>
        <w:t>xios</w:t>
      </w:r>
      <w:proofErr w:type="spellEnd"/>
      <w:r w:rsidR="00DF3C3B" w:rsidRPr="00E366AE">
        <w:rPr>
          <w:sz w:val="28"/>
        </w:rPr>
        <w:t xml:space="preserve"> Italia Service S.r.l. </w:t>
      </w:r>
      <w:r w:rsidR="004C437E" w:rsidRPr="00E366AE">
        <w:rPr>
          <w:sz w:val="28"/>
        </w:rPr>
        <w:t xml:space="preserve">(di seguito, </w:t>
      </w:r>
      <w:proofErr w:type="spellStart"/>
      <w:r w:rsidR="004C437E" w:rsidRPr="00E366AE">
        <w:rPr>
          <w:sz w:val="28"/>
        </w:rPr>
        <w:t>Axios</w:t>
      </w:r>
      <w:proofErr w:type="spellEnd"/>
      <w:r w:rsidR="004C437E" w:rsidRPr="00E366AE">
        <w:rPr>
          <w:sz w:val="28"/>
        </w:rPr>
        <w:t>)</w:t>
      </w:r>
      <w:r w:rsidR="00F84BFE" w:rsidRPr="00E366AE">
        <w:rPr>
          <w:sz w:val="28"/>
        </w:rPr>
        <w:t xml:space="preserve"> </w:t>
      </w:r>
      <w:r w:rsidR="00A11A85" w:rsidRPr="00E366AE">
        <w:rPr>
          <w:sz w:val="28"/>
        </w:rPr>
        <w:t xml:space="preserve">sviluppa </w:t>
      </w:r>
      <w:r w:rsidR="00A11A85" w:rsidRPr="00E366AE">
        <w:rPr>
          <w:i/>
          <w:sz w:val="28"/>
        </w:rPr>
        <w:t>software</w:t>
      </w:r>
      <w:r w:rsidR="00A11A85" w:rsidRPr="00E366AE">
        <w:rPr>
          <w:sz w:val="28"/>
        </w:rPr>
        <w:t xml:space="preserve"> per le esigenze delle scuole e l</w:t>
      </w:r>
      <w:r w:rsidR="001063FB">
        <w:rPr>
          <w:sz w:val="28"/>
        </w:rPr>
        <w:t>i</w:t>
      </w:r>
      <w:r w:rsidR="00A11A85" w:rsidRPr="00E366AE">
        <w:rPr>
          <w:sz w:val="28"/>
        </w:rPr>
        <w:t xml:space="preserve"> commercializza attraverso una rete di rivenditori che</w:t>
      </w:r>
      <w:r w:rsidR="00E366AE">
        <w:rPr>
          <w:sz w:val="28"/>
        </w:rPr>
        <w:t xml:space="preserve"> </w:t>
      </w:r>
      <w:r w:rsidR="00A11A85" w:rsidRPr="00E366AE">
        <w:rPr>
          <w:sz w:val="28"/>
        </w:rPr>
        <w:t>copre l’intero territorio nazionale.</w:t>
      </w:r>
    </w:p>
    <w:p w:rsidR="001063FB" w:rsidRDefault="001063FB">
      <w:pPr>
        <w:jc w:val="left"/>
        <w:rPr>
          <w:sz w:val="28"/>
        </w:rPr>
      </w:pPr>
      <w:r>
        <w:rPr>
          <w:sz w:val="28"/>
        </w:rPr>
        <w:br w:type="page"/>
      </w:r>
    </w:p>
    <w:p w:rsidR="00F61A85" w:rsidRPr="00E366AE" w:rsidRDefault="0069073A" w:rsidP="001063FB">
      <w:pPr>
        <w:widowControl w:val="0"/>
        <w:spacing w:line="350" w:lineRule="atLeast"/>
        <w:rPr>
          <w:sz w:val="28"/>
          <w:szCs w:val="26"/>
        </w:rPr>
      </w:pPr>
      <w:r w:rsidRPr="00E366AE">
        <w:rPr>
          <w:b/>
          <w:bCs/>
          <w:sz w:val="28"/>
          <w:szCs w:val="26"/>
        </w:rPr>
        <w:lastRenderedPageBreak/>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F61A85" w:rsidRPr="00E366AE">
        <w:rPr>
          <w:sz w:val="28"/>
        </w:rPr>
        <w:t xml:space="preserve">La segnalante </w:t>
      </w:r>
      <w:r w:rsidR="004C437E" w:rsidRPr="00E366AE">
        <w:rPr>
          <w:sz w:val="28"/>
        </w:rPr>
        <w:t xml:space="preserve">Casa Editrice Roberto Spaggiari </w:t>
      </w:r>
      <w:r w:rsidR="00E366AE">
        <w:rPr>
          <w:sz w:val="28"/>
        </w:rPr>
        <w:t>S.p.A.</w:t>
      </w:r>
      <w:r w:rsidR="004C437E" w:rsidRPr="00E366AE">
        <w:rPr>
          <w:sz w:val="28"/>
        </w:rPr>
        <w:t xml:space="preserve"> (di seguito, Spaggiari)</w:t>
      </w:r>
      <w:r w:rsidR="00F61A85" w:rsidRPr="00E366AE">
        <w:rPr>
          <w:sz w:val="28"/>
        </w:rPr>
        <w:t xml:space="preserve"> </w:t>
      </w:r>
      <w:r w:rsidR="00F61A85" w:rsidRPr="00E366AE">
        <w:rPr>
          <w:sz w:val="28"/>
          <w:szCs w:val="26"/>
        </w:rPr>
        <w:t xml:space="preserve">fa parte del Gruppo Spaggiari Parma </w:t>
      </w:r>
      <w:r w:rsidR="00F123FC" w:rsidRPr="00E366AE">
        <w:rPr>
          <w:sz w:val="28"/>
          <w:szCs w:val="26"/>
        </w:rPr>
        <w:t xml:space="preserve">che </w:t>
      </w:r>
      <w:r w:rsidR="004319B0" w:rsidRPr="00E366AE">
        <w:rPr>
          <w:sz w:val="28"/>
          <w:szCs w:val="26"/>
        </w:rPr>
        <w:t>focalizza la propria</w:t>
      </w:r>
      <w:r w:rsidR="00F123FC" w:rsidRPr="00E366AE">
        <w:rPr>
          <w:sz w:val="28"/>
          <w:szCs w:val="26"/>
        </w:rPr>
        <w:t xml:space="preserve"> attività </w:t>
      </w:r>
      <w:r w:rsidR="004319B0" w:rsidRPr="00E366AE">
        <w:rPr>
          <w:sz w:val="28"/>
          <w:szCs w:val="26"/>
        </w:rPr>
        <w:t xml:space="preserve">sulle esigenze delle </w:t>
      </w:r>
      <w:r w:rsidR="00F61A85" w:rsidRPr="00E366AE">
        <w:rPr>
          <w:sz w:val="28"/>
          <w:szCs w:val="26"/>
        </w:rPr>
        <w:t>scuole</w:t>
      </w:r>
      <w:r w:rsidR="00E30C44" w:rsidRPr="00E366AE">
        <w:rPr>
          <w:sz w:val="28"/>
          <w:szCs w:val="26"/>
        </w:rPr>
        <w:t xml:space="preserve"> offrendo una vasta gamma di beni e servizi che comprende, tra l’altro,</w:t>
      </w:r>
      <w:r w:rsidR="00F123FC" w:rsidRPr="00E366AE">
        <w:rPr>
          <w:sz w:val="28"/>
          <w:szCs w:val="26"/>
        </w:rPr>
        <w:t xml:space="preserve"> </w:t>
      </w:r>
      <w:r w:rsidR="00E30C44" w:rsidRPr="00E366AE">
        <w:rPr>
          <w:sz w:val="28"/>
          <w:szCs w:val="26"/>
        </w:rPr>
        <w:t xml:space="preserve">registri e stampati cartacei, pubblicazioni per l’aggiornamento del personale e dei responsabili della segreteria scolastica, distribuzione e logistica per la scuola, consulenza e formazione per le figure apicali degli istituti scolastici. </w:t>
      </w:r>
      <w:r w:rsidR="00F61A85" w:rsidRPr="00E366AE">
        <w:rPr>
          <w:sz w:val="28"/>
          <w:szCs w:val="26"/>
        </w:rPr>
        <w:t>Con specifico riferimento a</w:t>
      </w:r>
      <w:r w:rsidR="002E1A74" w:rsidRPr="00E366AE">
        <w:rPr>
          <w:sz w:val="28"/>
          <w:szCs w:val="26"/>
        </w:rPr>
        <w:t xml:space="preserve">i </w:t>
      </w:r>
      <w:r w:rsidR="002E1A74" w:rsidRPr="00E366AE">
        <w:rPr>
          <w:i/>
          <w:sz w:val="28"/>
          <w:szCs w:val="26"/>
        </w:rPr>
        <w:t>software</w:t>
      </w:r>
      <w:r w:rsidR="002E1A74" w:rsidRPr="00E366AE">
        <w:rPr>
          <w:sz w:val="28"/>
          <w:szCs w:val="26"/>
        </w:rPr>
        <w:t xml:space="preserve"> per le esigenze della scuola</w:t>
      </w:r>
      <w:r w:rsidR="00134B33" w:rsidRPr="00E366AE">
        <w:rPr>
          <w:sz w:val="28"/>
          <w:szCs w:val="26"/>
        </w:rPr>
        <w:t>,</w:t>
      </w:r>
      <w:r w:rsidR="002E1A74" w:rsidRPr="00E366AE">
        <w:rPr>
          <w:sz w:val="28"/>
          <w:szCs w:val="26"/>
        </w:rPr>
        <w:t xml:space="preserve"> </w:t>
      </w:r>
      <w:r w:rsidR="00134B33" w:rsidRPr="00E366AE">
        <w:rPr>
          <w:sz w:val="28"/>
          <w:szCs w:val="26"/>
        </w:rPr>
        <w:t xml:space="preserve">sia gestionali </w:t>
      </w:r>
      <w:r w:rsidR="002E1A74" w:rsidRPr="00E366AE">
        <w:rPr>
          <w:sz w:val="28"/>
          <w:szCs w:val="26"/>
        </w:rPr>
        <w:t>che didattiche e afferenti al rapporto scuola</w:t>
      </w:r>
      <w:r w:rsidR="00C00BB0" w:rsidRPr="00E366AE">
        <w:rPr>
          <w:sz w:val="28"/>
          <w:szCs w:val="26"/>
        </w:rPr>
        <w:t>-</w:t>
      </w:r>
      <w:r w:rsidR="002E1A74" w:rsidRPr="00E366AE">
        <w:rPr>
          <w:sz w:val="28"/>
          <w:szCs w:val="26"/>
        </w:rPr>
        <w:t>famigl</w:t>
      </w:r>
      <w:r w:rsidR="00134B33" w:rsidRPr="00E366AE">
        <w:rPr>
          <w:sz w:val="28"/>
          <w:szCs w:val="26"/>
        </w:rPr>
        <w:t>ia,</w:t>
      </w:r>
      <w:r w:rsidR="002E1A74" w:rsidRPr="00E366AE">
        <w:rPr>
          <w:sz w:val="28"/>
          <w:szCs w:val="26"/>
        </w:rPr>
        <w:t xml:space="preserve"> </w:t>
      </w:r>
      <w:r w:rsidR="00F61A85" w:rsidRPr="00E366AE">
        <w:rPr>
          <w:sz w:val="28"/>
          <w:szCs w:val="26"/>
        </w:rPr>
        <w:t xml:space="preserve">Spaggiari opera attraverso la divisione </w:t>
      </w:r>
      <w:proofErr w:type="spellStart"/>
      <w:r w:rsidR="00F61A85" w:rsidRPr="00E366AE">
        <w:rPr>
          <w:sz w:val="28"/>
          <w:szCs w:val="26"/>
        </w:rPr>
        <w:t>Infoschool</w:t>
      </w:r>
      <w:proofErr w:type="spellEnd"/>
      <w:r w:rsidR="00F61A85" w:rsidRPr="00E366AE">
        <w:rPr>
          <w:sz w:val="28"/>
          <w:szCs w:val="26"/>
        </w:rPr>
        <w:t>.</w:t>
      </w:r>
    </w:p>
    <w:p w:rsidR="004C437E" w:rsidRDefault="004C437E" w:rsidP="001063FB">
      <w:pPr>
        <w:widowControl w:val="0"/>
        <w:spacing w:line="350" w:lineRule="atLeast"/>
        <w:rPr>
          <w:sz w:val="28"/>
        </w:rPr>
      </w:pPr>
    </w:p>
    <w:p w:rsidR="00E366AE" w:rsidRPr="00E366AE" w:rsidRDefault="00E366AE" w:rsidP="001063FB">
      <w:pPr>
        <w:widowControl w:val="0"/>
        <w:spacing w:line="350" w:lineRule="atLeast"/>
        <w:rPr>
          <w:sz w:val="28"/>
        </w:rPr>
      </w:pPr>
    </w:p>
    <w:p w:rsidR="004C437E" w:rsidRPr="00E366AE" w:rsidRDefault="00E366AE" w:rsidP="001063FB">
      <w:pPr>
        <w:widowControl w:val="0"/>
        <w:spacing w:line="350" w:lineRule="atLeast"/>
        <w:rPr>
          <w:b/>
          <w:sz w:val="28"/>
        </w:rPr>
      </w:pPr>
      <w:r>
        <w:rPr>
          <w:b/>
          <w:sz w:val="28"/>
        </w:rPr>
        <w:t xml:space="preserve">II. </w:t>
      </w:r>
      <w:r w:rsidR="006B5E55" w:rsidRPr="00E366AE">
        <w:rPr>
          <w:b/>
          <w:sz w:val="28"/>
        </w:rPr>
        <w:t>I FATTI</w:t>
      </w:r>
    </w:p>
    <w:p w:rsidR="004C437E" w:rsidRPr="00E366AE" w:rsidRDefault="004C437E" w:rsidP="001063FB">
      <w:pPr>
        <w:widowControl w:val="0"/>
        <w:spacing w:line="350" w:lineRule="atLeast"/>
        <w:rPr>
          <w:sz w:val="28"/>
        </w:rPr>
      </w:pPr>
    </w:p>
    <w:p w:rsidR="001063FB"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C437E" w:rsidRPr="00E366AE">
        <w:rPr>
          <w:sz w:val="28"/>
        </w:rPr>
        <w:t xml:space="preserve">In data 19 febbraio 2014 è pervenuta la segnalazione, integrata in data 5 marzo 2014, di Spaggiari relativa a presunte condotte anticoncorrenziali poste in essere da Argo e </w:t>
      </w:r>
      <w:proofErr w:type="spellStart"/>
      <w:r w:rsidR="004C437E" w:rsidRPr="00E366AE">
        <w:rPr>
          <w:sz w:val="28"/>
        </w:rPr>
        <w:t>Axios</w:t>
      </w:r>
      <w:proofErr w:type="spellEnd"/>
      <w:r w:rsidR="004C437E" w:rsidRPr="00E366AE">
        <w:rPr>
          <w:sz w:val="28"/>
        </w:rPr>
        <w:t xml:space="preserve"> nei mercati dei </w:t>
      </w:r>
      <w:r w:rsidR="004C437E" w:rsidRPr="00E366AE">
        <w:rPr>
          <w:i/>
          <w:sz w:val="28"/>
        </w:rPr>
        <w:t>software</w:t>
      </w:r>
      <w:r w:rsidR="004C437E" w:rsidRPr="00E366AE">
        <w:rPr>
          <w:sz w:val="28"/>
        </w:rPr>
        <w:t xml:space="preserve"> di gestione amministrativa per gli istituti scolastici</w:t>
      </w:r>
      <w:r w:rsidR="00B06030" w:rsidRPr="00E366AE">
        <w:rPr>
          <w:sz w:val="28"/>
        </w:rPr>
        <w:t xml:space="preserve"> (cd. gestionali)</w:t>
      </w:r>
      <w:r w:rsidR="004C437E" w:rsidRPr="00E366AE">
        <w:rPr>
          <w:sz w:val="28"/>
        </w:rPr>
        <w:t xml:space="preserve"> e de</w:t>
      </w:r>
      <w:r w:rsidR="002E1A74" w:rsidRPr="00E366AE">
        <w:rPr>
          <w:sz w:val="28"/>
        </w:rPr>
        <w:t xml:space="preserve">gli applicativi innovativi per le scuole, con particolare riguardo al </w:t>
      </w:r>
      <w:r w:rsidR="004C437E" w:rsidRPr="00E366AE">
        <w:rPr>
          <w:sz w:val="28"/>
        </w:rPr>
        <w:t xml:space="preserve">registro di classe </w:t>
      </w:r>
      <w:r w:rsidR="006B5E55" w:rsidRPr="00E366AE">
        <w:rPr>
          <w:sz w:val="28"/>
        </w:rPr>
        <w:t xml:space="preserve">e </w:t>
      </w:r>
      <w:r w:rsidR="002E1A74" w:rsidRPr="00E366AE">
        <w:rPr>
          <w:sz w:val="28"/>
        </w:rPr>
        <w:t>al</w:t>
      </w:r>
      <w:r w:rsidR="006B5E55" w:rsidRPr="00E366AE">
        <w:rPr>
          <w:sz w:val="28"/>
        </w:rPr>
        <w:t>le comunicazioni scuola</w:t>
      </w:r>
      <w:r w:rsidR="00C00BB0" w:rsidRPr="00E366AE">
        <w:rPr>
          <w:sz w:val="28"/>
        </w:rPr>
        <w:t>-</w:t>
      </w:r>
      <w:r w:rsidR="006B5E55" w:rsidRPr="00E366AE">
        <w:rPr>
          <w:sz w:val="28"/>
        </w:rPr>
        <w:t xml:space="preserve">famiglia </w:t>
      </w:r>
      <w:r w:rsidR="004C437E" w:rsidRPr="00E366AE">
        <w:rPr>
          <w:sz w:val="28"/>
        </w:rPr>
        <w:t>in formato elettronico</w:t>
      </w:r>
      <w:r w:rsidR="00134B33" w:rsidRPr="00E366AE">
        <w:rPr>
          <w:sz w:val="28"/>
        </w:rPr>
        <w:t xml:space="preserve"> (di seguito, indicati anche solo come registro elettronico)</w:t>
      </w:r>
      <w:r w:rsidR="004C437E" w:rsidRPr="00E366AE">
        <w:rPr>
          <w:sz w:val="28"/>
        </w:rPr>
        <w:t>.</w:t>
      </w:r>
    </w:p>
    <w:p w:rsidR="002E1A74" w:rsidRPr="00E366AE" w:rsidRDefault="00E76C3D" w:rsidP="001063FB">
      <w:pPr>
        <w:widowControl w:val="0"/>
        <w:spacing w:line="350" w:lineRule="atLeast"/>
        <w:rPr>
          <w:sz w:val="28"/>
        </w:rPr>
      </w:pPr>
      <w:r w:rsidRPr="00E366AE">
        <w:rPr>
          <w:sz w:val="28"/>
        </w:rPr>
        <w:t xml:space="preserve">Argo e </w:t>
      </w:r>
      <w:proofErr w:type="spellStart"/>
      <w:r w:rsidRPr="00E366AE">
        <w:rPr>
          <w:sz w:val="28"/>
        </w:rPr>
        <w:t>Axios</w:t>
      </w:r>
      <w:proofErr w:type="spellEnd"/>
      <w:r w:rsidRPr="00E366AE">
        <w:rPr>
          <w:sz w:val="28"/>
        </w:rPr>
        <w:t xml:space="preserve"> sono i principali fornitori </w:t>
      </w:r>
      <w:r w:rsidR="00C00BB0" w:rsidRPr="00E366AE">
        <w:rPr>
          <w:sz w:val="28"/>
        </w:rPr>
        <w:t xml:space="preserve">privati </w:t>
      </w:r>
      <w:r w:rsidRPr="00E366AE">
        <w:rPr>
          <w:sz w:val="28"/>
        </w:rPr>
        <w:t xml:space="preserve">di </w:t>
      </w:r>
      <w:r w:rsidRPr="00E366AE">
        <w:rPr>
          <w:i/>
          <w:sz w:val="28"/>
        </w:rPr>
        <w:t>software</w:t>
      </w:r>
      <w:r w:rsidRPr="00E366AE">
        <w:rPr>
          <w:sz w:val="28"/>
        </w:rPr>
        <w:t xml:space="preserve"> gestionali </w:t>
      </w:r>
      <w:r w:rsidR="00C00BB0" w:rsidRPr="00E366AE">
        <w:rPr>
          <w:sz w:val="28"/>
        </w:rPr>
        <w:t xml:space="preserve">per </w:t>
      </w:r>
      <w:r w:rsidRPr="00E366AE">
        <w:rPr>
          <w:sz w:val="28"/>
        </w:rPr>
        <w:t>le scuole</w:t>
      </w:r>
      <w:r w:rsidR="00134B33" w:rsidRPr="00E366AE">
        <w:rPr>
          <w:sz w:val="28"/>
        </w:rPr>
        <w:t>,</w:t>
      </w:r>
      <w:r w:rsidRPr="00E366AE">
        <w:rPr>
          <w:sz w:val="28"/>
        </w:rPr>
        <w:t xml:space="preserve"> </w:t>
      </w:r>
      <w:r w:rsidR="00C00BB0" w:rsidRPr="00E366AE">
        <w:rPr>
          <w:sz w:val="28"/>
        </w:rPr>
        <w:t xml:space="preserve">posto che vi sono </w:t>
      </w:r>
      <w:r w:rsidRPr="00E366AE">
        <w:rPr>
          <w:i/>
          <w:sz w:val="28"/>
        </w:rPr>
        <w:t>software</w:t>
      </w:r>
      <w:r w:rsidRPr="00E366AE">
        <w:rPr>
          <w:sz w:val="28"/>
        </w:rPr>
        <w:t xml:space="preserve"> gestionali</w:t>
      </w:r>
      <w:r w:rsidR="002E1A74" w:rsidRPr="00E366AE">
        <w:rPr>
          <w:sz w:val="28"/>
        </w:rPr>
        <w:t>,</w:t>
      </w:r>
      <w:r w:rsidRPr="00E366AE">
        <w:rPr>
          <w:sz w:val="28"/>
        </w:rPr>
        <w:t xml:space="preserve"> denominati SISSI e SIDI</w:t>
      </w:r>
      <w:r w:rsidRPr="00E366AE">
        <w:rPr>
          <w:rStyle w:val="Rimandonotaapidipagina"/>
          <w:sz w:val="28"/>
          <w:szCs w:val="26"/>
        </w:rPr>
        <w:footnoteReference w:id="1"/>
      </w:r>
      <w:r w:rsidR="00134B33" w:rsidRPr="00E366AE">
        <w:rPr>
          <w:sz w:val="28"/>
        </w:rPr>
        <w:t>,</w:t>
      </w:r>
      <w:r w:rsidR="00E366AE">
        <w:rPr>
          <w:sz w:val="28"/>
        </w:rPr>
        <w:t xml:space="preserve"> </w:t>
      </w:r>
      <w:r w:rsidR="00134B33" w:rsidRPr="00E366AE">
        <w:rPr>
          <w:sz w:val="28"/>
        </w:rPr>
        <w:t xml:space="preserve">sviluppati da </w:t>
      </w:r>
      <w:proofErr w:type="spellStart"/>
      <w:r w:rsidR="00134B33" w:rsidRPr="00E366AE">
        <w:rPr>
          <w:sz w:val="28"/>
        </w:rPr>
        <w:t>Axios</w:t>
      </w:r>
      <w:proofErr w:type="spellEnd"/>
      <w:r w:rsidR="00134B33" w:rsidRPr="00E366AE">
        <w:rPr>
          <w:sz w:val="28"/>
        </w:rPr>
        <w:t xml:space="preserve"> e </w:t>
      </w:r>
      <w:r w:rsidRPr="00E366AE">
        <w:rPr>
          <w:sz w:val="28"/>
        </w:rPr>
        <w:t>messi a disposizione gratuitamente dal Ministero</w:t>
      </w:r>
      <w:r w:rsidR="00C00BB0" w:rsidRPr="00E366AE">
        <w:rPr>
          <w:sz w:val="28"/>
        </w:rPr>
        <w:t xml:space="preserve"> dell’Istruzione, dell’Università e della Ricerca (di seguito, Ministero)</w:t>
      </w:r>
      <w:r w:rsidRPr="00E366AE">
        <w:rPr>
          <w:sz w:val="28"/>
        </w:rPr>
        <w:t>.</w:t>
      </w:r>
      <w:r w:rsidR="00E91B7B" w:rsidRPr="00E366AE">
        <w:rPr>
          <w:sz w:val="28"/>
        </w:rPr>
        <w:t xml:space="preserve"> Entrambe le società aderiscono ad </w:t>
      </w:r>
      <w:proofErr w:type="spellStart"/>
      <w:r w:rsidR="00E91B7B" w:rsidRPr="00E366AE">
        <w:rPr>
          <w:sz w:val="28"/>
        </w:rPr>
        <w:t>Assoscuola</w:t>
      </w:r>
      <w:proofErr w:type="spellEnd"/>
      <w:r w:rsidR="00E91B7B" w:rsidRPr="00E366AE">
        <w:rPr>
          <w:sz w:val="28"/>
        </w:rPr>
        <w:t xml:space="preserve">, associazione di categoria delle imprese che sviluppano </w:t>
      </w:r>
      <w:r w:rsidR="00E91B7B" w:rsidRPr="00E366AE">
        <w:rPr>
          <w:i/>
          <w:sz w:val="28"/>
        </w:rPr>
        <w:t>software</w:t>
      </w:r>
      <w:r w:rsidR="00E91B7B" w:rsidRPr="00E366AE">
        <w:rPr>
          <w:sz w:val="28"/>
        </w:rPr>
        <w:t xml:space="preserve"> per le esigenze degli istituti scolastici</w:t>
      </w:r>
      <w:r w:rsidR="00756B68" w:rsidRPr="00E366AE">
        <w:rPr>
          <w:sz w:val="28"/>
        </w:rPr>
        <w:t>, esprimendo il Presidente</w:t>
      </w:r>
      <w:r w:rsidR="005065FE" w:rsidRPr="00E366AE">
        <w:rPr>
          <w:sz w:val="28"/>
        </w:rPr>
        <w:t xml:space="preserve"> (</w:t>
      </w:r>
      <w:proofErr w:type="spellStart"/>
      <w:r w:rsidR="005065FE" w:rsidRPr="00E366AE">
        <w:rPr>
          <w:sz w:val="28"/>
        </w:rPr>
        <w:t>Axios</w:t>
      </w:r>
      <w:proofErr w:type="spellEnd"/>
      <w:r w:rsidR="005065FE" w:rsidRPr="00E366AE">
        <w:rPr>
          <w:sz w:val="28"/>
        </w:rPr>
        <w:t>)</w:t>
      </w:r>
      <w:r w:rsidR="00756B68" w:rsidRPr="00E366AE">
        <w:rPr>
          <w:sz w:val="28"/>
        </w:rPr>
        <w:t xml:space="preserve"> e il vice Presidente</w:t>
      </w:r>
      <w:r w:rsidR="005065FE" w:rsidRPr="00E366AE">
        <w:rPr>
          <w:sz w:val="28"/>
        </w:rPr>
        <w:t xml:space="preserve"> (Argo)</w:t>
      </w:r>
      <w:r w:rsidR="00E91B7B" w:rsidRPr="00E366AE">
        <w:rPr>
          <w:sz w:val="28"/>
        </w:rPr>
        <w:t>.</w:t>
      </w:r>
    </w:p>
    <w:p w:rsidR="00E71214"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319B0" w:rsidRPr="00E366AE">
        <w:rPr>
          <w:sz w:val="28"/>
        </w:rPr>
        <w:t xml:space="preserve">Argo e </w:t>
      </w:r>
      <w:proofErr w:type="spellStart"/>
      <w:r w:rsidR="004319B0" w:rsidRPr="00E366AE">
        <w:rPr>
          <w:sz w:val="28"/>
        </w:rPr>
        <w:t>Axios</w:t>
      </w:r>
      <w:proofErr w:type="spellEnd"/>
      <w:r w:rsidR="004319B0" w:rsidRPr="00E366AE">
        <w:rPr>
          <w:sz w:val="28"/>
        </w:rPr>
        <w:t xml:space="preserve">, a ridosso dell’introduzione obbligatoria nelle scuole del registro </w:t>
      </w:r>
      <w:r w:rsidR="00134B33" w:rsidRPr="00E366AE">
        <w:rPr>
          <w:sz w:val="28"/>
        </w:rPr>
        <w:t>di classe</w:t>
      </w:r>
      <w:r w:rsidR="004319B0" w:rsidRPr="00E366AE">
        <w:rPr>
          <w:sz w:val="28"/>
        </w:rPr>
        <w:t xml:space="preserve"> e delle comunicazioni scuola</w:t>
      </w:r>
      <w:r w:rsidR="00C00BB0" w:rsidRPr="00E366AE">
        <w:rPr>
          <w:sz w:val="28"/>
        </w:rPr>
        <w:t>-</w:t>
      </w:r>
      <w:r w:rsidR="004319B0" w:rsidRPr="00E366AE">
        <w:rPr>
          <w:sz w:val="28"/>
        </w:rPr>
        <w:t xml:space="preserve">famiglia in formato </w:t>
      </w:r>
      <w:r w:rsidR="00134B33" w:rsidRPr="00E366AE">
        <w:rPr>
          <w:sz w:val="28"/>
        </w:rPr>
        <w:t>elettronico</w:t>
      </w:r>
      <w:r w:rsidR="004319B0" w:rsidRPr="00E366AE">
        <w:rPr>
          <w:sz w:val="28"/>
        </w:rPr>
        <w:t xml:space="preserve"> (anno scolastico 2012-2013), hanno deciso di degradare fino a rimuovere l’interoperabilità tra i loro </w:t>
      </w:r>
      <w:r w:rsidR="00134B33" w:rsidRPr="00E366AE">
        <w:rPr>
          <w:i/>
          <w:sz w:val="28"/>
        </w:rPr>
        <w:t>software</w:t>
      </w:r>
      <w:r w:rsidR="00134B33" w:rsidRPr="00E366AE">
        <w:rPr>
          <w:sz w:val="28"/>
        </w:rPr>
        <w:t xml:space="preserve"> </w:t>
      </w:r>
      <w:r w:rsidR="004319B0" w:rsidRPr="00E366AE">
        <w:rPr>
          <w:sz w:val="28"/>
        </w:rPr>
        <w:t xml:space="preserve">gestionali e i </w:t>
      </w:r>
      <w:r w:rsidR="00134B33" w:rsidRPr="00E366AE">
        <w:rPr>
          <w:sz w:val="28"/>
        </w:rPr>
        <w:t>registri elettronici dei concorrenti</w:t>
      </w:r>
      <w:r w:rsidR="004319B0" w:rsidRPr="00E366AE">
        <w:rPr>
          <w:sz w:val="28"/>
        </w:rPr>
        <w:t xml:space="preserve">, tra i quali quelli di </w:t>
      </w:r>
      <w:proofErr w:type="spellStart"/>
      <w:r w:rsidR="004319B0" w:rsidRPr="00E366AE">
        <w:rPr>
          <w:sz w:val="28"/>
        </w:rPr>
        <w:t>Infoschool</w:t>
      </w:r>
      <w:proofErr w:type="spellEnd"/>
      <w:r w:rsidR="004319B0" w:rsidRPr="00E366AE">
        <w:rPr>
          <w:sz w:val="28"/>
        </w:rPr>
        <w:t xml:space="preserve">. </w:t>
      </w:r>
      <w:r w:rsidR="00E71214" w:rsidRPr="00E366AE">
        <w:rPr>
          <w:sz w:val="28"/>
        </w:rPr>
        <w:t xml:space="preserve">Fino all’inizio dell’anno scolastico 2011-2012 Argo ed </w:t>
      </w:r>
      <w:proofErr w:type="spellStart"/>
      <w:r w:rsidR="00E71214" w:rsidRPr="00E366AE">
        <w:rPr>
          <w:sz w:val="28"/>
        </w:rPr>
        <w:t>Axios</w:t>
      </w:r>
      <w:proofErr w:type="spellEnd"/>
      <w:r w:rsidR="00E71214" w:rsidRPr="00E366AE">
        <w:rPr>
          <w:sz w:val="28"/>
        </w:rPr>
        <w:t xml:space="preserve"> consentivano l’accesso in lettura e in scrittura ai </w:t>
      </w:r>
      <w:r w:rsidR="00E71214" w:rsidRPr="00E366AE">
        <w:rPr>
          <w:i/>
          <w:sz w:val="28"/>
        </w:rPr>
        <w:t>database</w:t>
      </w:r>
      <w:r w:rsidR="00E71214" w:rsidRPr="00E366AE">
        <w:rPr>
          <w:sz w:val="28"/>
        </w:rPr>
        <w:t xml:space="preserve"> contenenti i dati della scuola. Tale accesso avveniva attraverso interfacce, che consentivano di interpretare il significato dei dati. Il degradamento dell’interoperabilità dei </w:t>
      </w:r>
      <w:r w:rsidR="00E71214" w:rsidRPr="00E366AE">
        <w:rPr>
          <w:i/>
          <w:sz w:val="28"/>
        </w:rPr>
        <w:t>software</w:t>
      </w:r>
      <w:r w:rsidR="00E71214" w:rsidRPr="00E366AE">
        <w:rPr>
          <w:sz w:val="28"/>
        </w:rPr>
        <w:t xml:space="preserve"> gestionali con </w:t>
      </w:r>
      <w:r w:rsidR="00134B33" w:rsidRPr="00E366AE">
        <w:rPr>
          <w:sz w:val="28"/>
        </w:rPr>
        <w:t xml:space="preserve">gli applicativi innovativi </w:t>
      </w:r>
      <w:r w:rsidR="00E71214" w:rsidRPr="00E366AE">
        <w:rPr>
          <w:sz w:val="28"/>
        </w:rPr>
        <w:t xml:space="preserve">dei concorrenti, e in particolare della segnalante </w:t>
      </w:r>
      <w:r w:rsidR="00E71214" w:rsidRPr="00E366AE">
        <w:rPr>
          <w:sz w:val="28"/>
        </w:rPr>
        <w:lastRenderedPageBreak/>
        <w:t xml:space="preserve">Spaggiari, ha avuto inizio nel corso dell’anno scolastico 2011-2012 per Argo e nel corso dell’anno scolastico 2012-2013 per </w:t>
      </w:r>
      <w:proofErr w:type="spellStart"/>
      <w:r w:rsidR="00E71214" w:rsidRPr="00E366AE">
        <w:rPr>
          <w:sz w:val="28"/>
        </w:rPr>
        <w:t>Axios</w:t>
      </w:r>
      <w:proofErr w:type="spellEnd"/>
      <w:r w:rsidR="00E71214" w:rsidRPr="00E366AE">
        <w:rPr>
          <w:sz w:val="28"/>
        </w:rPr>
        <w:t>.</w:t>
      </w:r>
    </w:p>
    <w:p w:rsidR="004319B0"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319B0" w:rsidRPr="00E366AE">
        <w:rPr>
          <w:sz w:val="28"/>
        </w:rPr>
        <w:t xml:space="preserve">Nello specifico, Argo e </w:t>
      </w:r>
      <w:proofErr w:type="spellStart"/>
      <w:r w:rsidR="004319B0" w:rsidRPr="00E366AE">
        <w:rPr>
          <w:sz w:val="28"/>
        </w:rPr>
        <w:t>Axios</w:t>
      </w:r>
      <w:proofErr w:type="spellEnd"/>
      <w:r w:rsidR="004319B0" w:rsidRPr="00E366AE">
        <w:rPr>
          <w:sz w:val="28"/>
        </w:rPr>
        <w:t xml:space="preserve"> hanno introdotto </w:t>
      </w:r>
      <w:r w:rsidR="004319B0" w:rsidRPr="00E366AE">
        <w:rPr>
          <w:i/>
          <w:sz w:val="28"/>
        </w:rPr>
        <w:t>password</w:t>
      </w:r>
      <w:r w:rsidR="004319B0" w:rsidRPr="00E366AE">
        <w:rPr>
          <w:sz w:val="28"/>
        </w:rPr>
        <w:t xml:space="preserve"> di protezione dei </w:t>
      </w:r>
      <w:r w:rsidR="004319B0" w:rsidRPr="00E366AE">
        <w:rPr>
          <w:i/>
          <w:sz w:val="28"/>
        </w:rPr>
        <w:t>database</w:t>
      </w:r>
      <w:r w:rsidR="004319B0" w:rsidRPr="00E366AE">
        <w:rPr>
          <w:sz w:val="28"/>
        </w:rPr>
        <w:t xml:space="preserve"> inclusi nei gestionali</w:t>
      </w:r>
      <w:r w:rsidR="00134B33" w:rsidRPr="00E366AE">
        <w:rPr>
          <w:sz w:val="28"/>
        </w:rPr>
        <w:t>,</w:t>
      </w:r>
      <w:r w:rsidR="004319B0" w:rsidRPr="00E366AE">
        <w:rPr>
          <w:sz w:val="28"/>
        </w:rPr>
        <w:t xml:space="preserve"> contenenti i dati della scuola relativi agli alunni (e alle famiglie) e al personale (con specifico riferimento a quello docente), che risultano necessari per il funzionamento del registro elettronico. Tali </w:t>
      </w:r>
      <w:r w:rsidR="004319B0" w:rsidRPr="00E366AE">
        <w:rPr>
          <w:i/>
          <w:sz w:val="28"/>
        </w:rPr>
        <w:t>password</w:t>
      </w:r>
      <w:r w:rsidR="004319B0" w:rsidRPr="00E366AE">
        <w:rPr>
          <w:sz w:val="28"/>
        </w:rPr>
        <w:t xml:space="preserve"> non sono state comunicate ai dirigenti degli istituti, nemmeno a seguito di esplicite lamentele dei medesimi in relazione al blocco dei </w:t>
      </w:r>
      <w:r w:rsidR="004319B0" w:rsidRPr="00E366AE">
        <w:rPr>
          <w:i/>
          <w:sz w:val="28"/>
        </w:rPr>
        <w:t>database</w:t>
      </w:r>
      <w:r w:rsidR="002E1A74" w:rsidRPr="00E366AE">
        <w:rPr>
          <w:sz w:val="28"/>
        </w:rPr>
        <w:t>.</w:t>
      </w:r>
      <w:r w:rsidR="004319B0" w:rsidRPr="00E366AE">
        <w:rPr>
          <w:sz w:val="28"/>
        </w:rPr>
        <w:t xml:space="preserve"> </w:t>
      </w:r>
      <w:r w:rsidR="00FF5A6C" w:rsidRPr="00E366AE">
        <w:rPr>
          <w:sz w:val="28"/>
        </w:rPr>
        <w:t xml:space="preserve">La protezione dei </w:t>
      </w:r>
      <w:r w:rsidR="00FF5A6C" w:rsidRPr="00E366AE">
        <w:rPr>
          <w:i/>
          <w:sz w:val="28"/>
        </w:rPr>
        <w:t>database</w:t>
      </w:r>
      <w:r w:rsidR="00FF5A6C" w:rsidRPr="00E366AE">
        <w:rPr>
          <w:sz w:val="28"/>
        </w:rPr>
        <w:t xml:space="preserve"> con una </w:t>
      </w:r>
      <w:r w:rsidR="00FF5A6C" w:rsidRPr="00E366AE">
        <w:rPr>
          <w:i/>
          <w:sz w:val="28"/>
        </w:rPr>
        <w:t>password</w:t>
      </w:r>
      <w:r w:rsidR="00FF5A6C" w:rsidRPr="00E366AE">
        <w:rPr>
          <w:sz w:val="28"/>
        </w:rPr>
        <w:t xml:space="preserve"> </w:t>
      </w:r>
      <w:r w:rsidR="00A0360D" w:rsidRPr="00E366AE">
        <w:rPr>
          <w:sz w:val="28"/>
        </w:rPr>
        <w:t xml:space="preserve">ha trovato corrispondenza nelle condizioni di contratto relative ai </w:t>
      </w:r>
      <w:r w:rsidR="00A0360D" w:rsidRPr="00E366AE">
        <w:rPr>
          <w:i/>
          <w:sz w:val="28"/>
        </w:rPr>
        <w:t>software</w:t>
      </w:r>
      <w:r w:rsidR="00A0360D" w:rsidRPr="00E366AE">
        <w:rPr>
          <w:sz w:val="28"/>
        </w:rPr>
        <w:t xml:space="preserve"> gestionali di </w:t>
      </w:r>
      <w:r w:rsidR="004319B0" w:rsidRPr="00E366AE">
        <w:rPr>
          <w:sz w:val="28"/>
        </w:rPr>
        <w:t xml:space="preserve">Argo e </w:t>
      </w:r>
      <w:proofErr w:type="spellStart"/>
      <w:r w:rsidR="004319B0" w:rsidRPr="00E366AE">
        <w:rPr>
          <w:sz w:val="28"/>
        </w:rPr>
        <w:t>Axios</w:t>
      </w:r>
      <w:proofErr w:type="spellEnd"/>
      <w:r w:rsidR="004319B0" w:rsidRPr="00E366AE">
        <w:rPr>
          <w:sz w:val="28"/>
        </w:rPr>
        <w:t xml:space="preserve"> </w:t>
      </w:r>
      <w:r w:rsidR="00A0360D" w:rsidRPr="00E366AE">
        <w:rPr>
          <w:sz w:val="28"/>
        </w:rPr>
        <w:t xml:space="preserve">che contengono </w:t>
      </w:r>
      <w:r w:rsidR="004319B0" w:rsidRPr="00E366AE">
        <w:rPr>
          <w:sz w:val="28"/>
        </w:rPr>
        <w:t>clausole</w:t>
      </w:r>
      <w:r w:rsidR="00FF5A6C" w:rsidRPr="00E366AE">
        <w:rPr>
          <w:sz w:val="28"/>
        </w:rPr>
        <w:t>,</w:t>
      </w:r>
      <w:r w:rsidR="004319B0" w:rsidRPr="00E366AE">
        <w:rPr>
          <w:sz w:val="28"/>
        </w:rPr>
        <w:t xml:space="preserve"> </w:t>
      </w:r>
      <w:r w:rsidR="00A0360D" w:rsidRPr="00E366AE">
        <w:rPr>
          <w:sz w:val="28"/>
        </w:rPr>
        <w:t>di analogo tenore</w:t>
      </w:r>
      <w:r w:rsidR="00FF5A6C" w:rsidRPr="00E366AE">
        <w:rPr>
          <w:sz w:val="28"/>
        </w:rPr>
        <w:t>,</w:t>
      </w:r>
      <w:r w:rsidR="00A0360D" w:rsidRPr="00E366AE">
        <w:rPr>
          <w:sz w:val="28"/>
        </w:rPr>
        <w:t xml:space="preserve"> nelle quali viene imposto </w:t>
      </w:r>
      <w:r w:rsidR="004319B0" w:rsidRPr="00E366AE">
        <w:rPr>
          <w:sz w:val="28"/>
        </w:rPr>
        <w:t>ai clienti</w:t>
      </w:r>
      <w:r w:rsidR="00A0360D" w:rsidRPr="00E366AE">
        <w:rPr>
          <w:sz w:val="28"/>
        </w:rPr>
        <w:t>, e cioè agli istituti scolastici,</w:t>
      </w:r>
      <w:r w:rsidR="004319B0" w:rsidRPr="00E366AE">
        <w:rPr>
          <w:sz w:val="28"/>
        </w:rPr>
        <w:t xml:space="preserve"> di non consentire l’accesso ai </w:t>
      </w:r>
      <w:r w:rsidR="004319B0" w:rsidRPr="00E366AE">
        <w:rPr>
          <w:i/>
          <w:sz w:val="28"/>
        </w:rPr>
        <w:t>database</w:t>
      </w:r>
      <w:r w:rsidR="004319B0" w:rsidRPr="00E366AE">
        <w:rPr>
          <w:sz w:val="28"/>
        </w:rPr>
        <w:t xml:space="preserve"> </w:t>
      </w:r>
      <w:r w:rsidR="001063FB">
        <w:rPr>
          <w:sz w:val="28"/>
        </w:rPr>
        <w:t>sia</w:t>
      </w:r>
      <w:r w:rsidR="001063FB" w:rsidRPr="00E366AE">
        <w:rPr>
          <w:sz w:val="28"/>
        </w:rPr>
        <w:t xml:space="preserve"> </w:t>
      </w:r>
      <w:r w:rsidR="004319B0" w:rsidRPr="00E366AE">
        <w:rPr>
          <w:sz w:val="28"/>
        </w:rPr>
        <w:t xml:space="preserve">in lettura </w:t>
      </w:r>
      <w:r w:rsidR="001063FB">
        <w:rPr>
          <w:sz w:val="28"/>
        </w:rPr>
        <w:t>sia</w:t>
      </w:r>
      <w:r w:rsidR="001063FB" w:rsidRPr="00E366AE">
        <w:rPr>
          <w:sz w:val="28"/>
        </w:rPr>
        <w:t xml:space="preserve"> </w:t>
      </w:r>
      <w:r w:rsidR="004319B0" w:rsidRPr="00E366AE">
        <w:rPr>
          <w:sz w:val="28"/>
        </w:rPr>
        <w:t>in scrittura a soggetti terzi</w:t>
      </w:r>
      <w:r w:rsidR="004319B0" w:rsidRPr="00E366AE">
        <w:rPr>
          <w:rStyle w:val="Rimandonotaapidipagina"/>
          <w:sz w:val="28"/>
        </w:rPr>
        <w:footnoteReference w:id="2"/>
      </w:r>
      <w:r w:rsidR="004319B0" w:rsidRPr="00E366AE">
        <w:rPr>
          <w:sz w:val="28"/>
        </w:rPr>
        <w:t>.</w:t>
      </w:r>
      <w:r w:rsidR="00704379" w:rsidRPr="00E366AE">
        <w:rPr>
          <w:sz w:val="28"/>
        </w:rPr>
        <w:t xml:space="preserve"> Entrambe le società, nelle comunicazioni alle scuole che lamentavano il blocco dei </w:t>
      </w:r>
      <w:r w:rsidR="00704379" w:rsidRPr="00E366AE">
        <w:rPr>
          <w:i/>
          <w:sz w:val="28"/>
        </w:rPr>
        <w:t>database</w:t>
      </w:r>
      <w:r w:rsidR="00704379" w:rsidRPr="00E366AE">
        <w:rPr>
          <w:sz w:val="28"/>
        </w:rPr>
        <w:t xml:space="preserve">, hanno eccepito </w:t>
      </w:r>
      <w:r w:rsidR="001063FB">
        <w:rPr>
          <w:sz w:val="28"/>
        </w:rPr>
        <w:t xml:space="preserve">- </w:t>
      </w:r>
      <w:r w:rsidR="00704379" w:rsidRPr="00E366AE">
        <w:rPr>
          <w:sz w:val="28"/>
        </w:rPr>
        <w:t xml:space="preserve">a spiegazione delle proprie scelte </w:t>
      </w:r>
      <w:r w:rsidR="001063FB">
        <w:rPr>
          <w:sz w:val="28"/>
        </w:rPr>
        <w:t xml:space="preserve">- </w:t>
      </w:r>
      <w:r w:rsidR="00704379" w:rsidRPr="00E366AE">
        <w:rPr>
          <w:sz w:val="28"/>
        </w:rPr>
        <w:t>esigenze di tutela dei dati personali e dei diritti d’autore connessi ai programmi.</w:t>
      </w:r>
    </w:p>
    <w:p w:rsidR="004319B0"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A0360D" w:rsidRPr="00E366AE">
        <w:rPr>
          <w:sz w:val="28"/>
        </w:rPr>
        <w:t>Tal</w:t>
      </w:r>
      <w:r w:rsidR="00C00BB0" w:rsidRPr="00E366AE">
        <w:rPr>
          <w:sz w:val="28"/>
        </w:rPr>
        <w:t>i</w:t>
      </w:r>
      <w:r w:rsidR="00A0360D" w:rsidRPr="00E366AE">
        <w:rPr>
          <w:sz w:val="28"/>
        </w:rPr>
        <w:t xml:space="preserve"> condott</w:t>
      </w:r>
      <w:r w:rsidR="00C00BB0" w:rsidRPr="00E366AE">
        <w:rPr>
          <w:sz w:val="28"/>
        </w:rPr>
        <w:t>e</w:t>
      </w:r>
      <w:r w:rsidR="00A0360D" w:rsidRPr="00E366AE">
        <w:rPr>
          <w:sz w:val="28"/>
        </w:rPr>
        <w:t xml:space="preserve"> ha</w:t>
      </w:r>
      <w:r w:rsidR="00C00BB0" w:rsidRPr="00E366AE">
        <w:rPr>
          <w:sz w:val="28"/>
        </w:rPr>
        <w:t>nno</w:t>
      </w:r>
      <w:r w:rsidR="00A0360D" w:rsidRPr="00E366AE">
        <w:rPr>
          <w:sz w:val="28"/>
        </w:rPr>
        <w:t xml:space="preserve"> di fatto impedito agli istituti scolastici che adottano un </w:t>
      </w:r>
      <w:r w:rsidR="00A0360D" w:rsidRPr="00E366AE">
        <w:rPr>
          <w:i/>
          <w:sz w:val="28"/>
        </w:rPr>
        <w:t>software</w:t>
      </w:r>
      <w:r w:rsidR="00A0360D" w:rsidRPr="00E366AE">
        <w:rPr>
          <w:sz w:val="28"/>
        </w:rPr>
        <w:t xml:space="preserve"> gestionale di Argo o </w:t>
      </w:r>
      <w:proofErr w:type="spellStart"/>
      <w:r w:rsidR="00A0360D" w:rsidRPr="00E366AE">
        <w:rPr>
          <w:sz w:val="28"/>
        </w:rPr>
        <w:t>Axios</w:t>
      </w:r>
      <w:proofErr w:type="spellEnd"/>
      <w:r w:rsidR="00A0360D" w:rsidRPr="00E366AE">
        <w:rPr>
          <w:sz w:val="28"/>
        </w:rPr>
        <w:t xml:space="preserve"> di utilizzare i dati contenuti nei </w:t>
      </w:r>
      <w:r w:rsidR="00A0360D" w:rsidRPr="00E366AE">
        <w:rPr>
          <w:i/>
          <w:sz w:val="28"/>
        </w:rPr>
        <w:t>database</w:t>
      </w:r>
      <w:r w:rsidR="00A0360D" w:rsidRPr="00E366AE">
        <w:rPr>
          <w:sz w:val="28"/>
        </w:rPr>
        <w:t xml:space="preserve"> alunni e personale per il registro elettronico fornito da un diverso operatore, e in particolare dalla segnalante. </w:t>
      </w:r>
      <w:r w:rsidR="002E1A74" w:rsidRPr="00E366AE">
        <w:rPr>
          <w:sz w:val="28"/>
        </w:rPr>
        <w:t xml:space="preserve">Argo e </w:t>
      </w:r>
      <w:proofErr w:type="spellStart"/>
      <w:r w:rsidR="002E1A74" w:rsidRPr="00E366AE">
        <w:rPr>
          <w:sz w:val="28"/>
        </w:rPr>
        <w:t>Axios</w:t>
      </w:r>
      <w:proofErr w:type="spellEnd"/>
      <w:r w:rsidR="002E1A74" w:rsidRPr="00E366AE">
        <w:rPr>
          <w:sz w:val="28"/>
        </w:rPr>
        <w:t xml:space="preserve"> hanno</w:t>
      </w:r>
      <w:r w:rsidR="00F647DC" w:rsidRPr="00E366AE">
        <w:rPr>
          <w:sz w:val="28"/>
        </w:rPr>
        <w:t xml:space="preserve"> risposto </w:t>
      </w:r>
      <w:r w:rsidR="002E1A74" w:rsidRPr="00E366AE">
        <w:rPr>
          <w:sz w:val="28"/>
        </w:rPr>
        <w:t xml:space="preserve">agli istituti che lamentavano il blocco dei </w:t>
      </w:r>
      <w:r w:rsidR="002E1A74" w:rsidRPr="00E366AE">
        <w:rPr>
          <w:i/>
          <w:sz w:val="28"/>
        </w:rPr>
        <w:t>database</w:t>
      </w:r>
      <w:r w:rsidR="002E1A74" w:rsidRPr="00E366AE">
        <w:rPr>
          <w:sz w:val="28"/>
        </w:rPr>
        <w:t xml:space="preserve"> contenenti i loro dati, nonché alla stessa Spaggiari, che l’accesso ai dati è comunque possibile grazie all’esportazione in formato ASCII. </w:t>
      </w:r>
      <w:r w:rsidR="00A0360D" w:rsidRPr="00E366AE">
        <w:rPr>
          <w:sz w:val="28"/>
        </w:rPr>
        <w:t xml:space="preserve">Al riguardo, </w:t>
      </w:r>
      <w:r w:rsidR="00134B33" w:rsidRPr="00E366AE">
        <w:rPr>
          <w:sz w:val="28"/>
        </w:rPr>
        <w:t>Spaggiari</w:t>
      </w:r>
      <w:r w:rsidR="00A0360D" w:rsidRPr="00E366AE">
        <w:rPr>
          <w:sz w:val="28"/>
        </w:rPr>
        <w:t xml:space="preserve"> ha posto in evidenza che l’alternativa proposta da Argo e </w:t>
      </w:r>
      <w:proofErr w:type="spellStart"/>
      <w:r w:rsidR="00A0360D" w:rsidRPr="00E366AE">
        <w:rPr>
          <w:sz w:val="28"/>
        </w:rPr>
        <w:t>Axios</w:t>
      </w:r>
      <w:proofErr w:type="spellEnd"/>
      <w:r w:rsidR="00A0360D" w:rsidRPr="00E366AE">
        <w:rPr>
          <w:sz w:val="28"/>
        </w:rPr>
        <w:t xml:space="preserve"> di un’esportazione in formato ASCII dei dati non </w:t>
      </w:r>
      <w:r w:rsidR="00014652" w:rsidRPr="00E366AE">
        <w:rPr>
          <w:sz w:val="28"/>
        </w:rPr>
        <w:t>costituisce una forma di interoperabilità</w:t>
      </w:r>
      <w:r w:rsidR="00C00BB0" w:rsidRPr="00E366AE">
        <w:rPr>
          <w:sz w:val="28"/>
        </w:rPr>
        <w:t xml:space="preserve"> efficiente</w:t>
      </w:r>
      <w:r w:rsidR="00014652" w:rsidRPr="00E366AE">
        <w:rPr>
          <w:sz w:val="28"/>
        </w:rPr>
        <w:t xml:space="preserve"> e che, comunque, le specifiche modalità di esportazione adottate da Argo e </w:t>
      </w:r>
      <w:proofErr w:type="spellStart"/>
      <w:r w:rsidR="00014652" w:rsidRPr="00E366AE">
        <w:rPr>
          <w:sz w:val="28"/>
        </w:rPr>
        <w:t>Axios</w:t>
      </w:r>
      <w:proofErr w:type="spellEnd"/>
      <w:r w:rsidR="003E35F7" w:rsidRPr="00E366AE">
        <w:rPr>
          <w:sz w:val="28"/>
        </w:rPr>
        <w:t xml:space="preserve"> non comprendono</w:t>
      </w:r>
      <w:r w:rsidR="00A0360D" w:rsidRPr="00E366AE">
        <w:rPr>
          <w:sz w:val="28"/>
        </w:rPr>
        <w:t xml:space="preserve"> le informazioni </w:t>
      </w:r>
      <w:r w:rsidR="003E35F7" w:rsidRPr="00E366AE">
        <w:rPr>
          <w:sz w:val="28"/>
        </w:rPr>
        <w:t>necessarie all’interpretazione del s</w:t>
      </w:r>
      <w:r w:rsidR="00BA2ADB" w:rsidRPr="00E366AE">
        <w:rPr>
          <w:sz w:val="28"/>
        </w:rPr>
        <w:t>ignificato dei dati</w:t>
      </w:r>
      <w:r w:rsidR="00C00BB0" w:rsidRPr="00E366AE">
        <w:rPr>
          <w:sz w:val="28"/>
        </w:rPr>
        <w:t xml:space="preserve"> e, dunque, al loro utilizzo da parte di altri programmi</w:t>
      </w:r>
      <w:r w:rsidR="003E35F7" w:rsidRPr="00E366AE">
        <w:rPr>
          <w:rStyle w:val="Rimandonotaapidipagina"/>
          <w:sz w:val="28"/>
        </w:rPr>
        <w:footnoteReference w:id="3"/>
      </w:r>
      <w:r w:rsidR="00BA2ADB" w:rsidRPr="00E366AE">
        <w:rPr>
          <w:sz w:val="28"/>
        </w:rPr>
        <w:t>.</w:t>
      </w:r>
    </w:p>
    <w:p w:rsidR="00E76C3D"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C00BB0" w:rsidRPr="00E366AE">
        <w:rPr>
          <w:sz w:val="28"/>
        </w:rPr>
        <w:t>La segnalante ha evidenziato che</w:t>
      </w:r>
      <w:r w:rsidR="0071088A" w:rsidRPr="00E366AE">
        <w:rPr>
          <w:sz w:val="28"/>
        </w:rPr>
        <w:t xml:space="preserve">, diversamente da Argo e </w:t>
      </w:r>
      <w:proofErr w:type="spellStart"/>
      <w:r w:rsidR="0071088A" w:rsidRPr="00E366AE">
        <w:rPr>
          <w:sz w:val="28"/>
        </w:rPr>
        <w:t>Axios</w:t>
      </w:r>
      <w:proofErr w:type="spellEnd"/>
      <w:r w:rsidR="0071088A" w:rsidRPr="00E366AE">
        <w:rPr>
          <w:sz w:val="28"/>
        </w:rPr>
        <w:t xml:space="preserve">, il Ministero non ha ritenuto, </w:t>
      </w:r>
      <w:r w:rsidR="00C00BB0" w:rsidRPr="00E366AE">
        <w:rPr>
          <w:sz w:val="28"/>
        </w:rPr>
        <w:t>a</w:t>
      </w:r>
      <w:r w:rsidR="00E76C3D" w:rsidRPr="00E366AE">
        <w:rPr>
          <w:sz w:val="28"/>
        </w:rPr>
        <w:t>d oggi</w:t>
      </w:r>
      <w:r w:rsidR="0071088A" w:rsidRPr="00E366AE">
        <w:rPr>
          <w:sz w:val="28"/>
        </w:rPr>
        <w:t>,</w:t>
      </w:r>
      <w:r w:rsidR="00E76C3D" w:rsidRPr="00E366AE">
        <w:rPr>
          <w:sz w:val="28"/>
        </w:rPr>
        <w:t xml:space="preserve"> </w:t>
      </w:r>
      <w:r w:rsidR="0071088A" w:rsidRPr="00E366AE">
        <w:rPr>
          <w:sz w:val="28"/>
        </w:rPr>
        <w:t>di</w:t>
      </w:r>
      <w:r w:rsidR="00E76C3D" w:rsidRPr="00E366AE">
        <w:rPr>
          <w:sz w:val="28"/>
        </w:rPr>
        <w:t xml:space="preserve"> modifica</w:t>
      </w:r>
      <w:r w:rsidR="0071088A" w:rsidRPr="00E366AE">
        <w:rPr>
          <w:sz w:val="28"/>
        </w:rPr>
        <w:t>r</w:t>
      </w:r>
      <w:r w:rsidR="00E76C3D" w:rsidRPr="00E366AE">
        <w:rPr>
          <w:sz w:val="28"/>
        </w:rPr>
        <w:t xml:space="preserve">e le condizioni di interoperabilità dei </w:t>
      </w:r>
      <w:r w:rsidR="00E76C3D" w:rsidRPr="00E366AE">
        <w:rPr>
          <w:i/>
          <w:sz w:val="28"/>
        </w:rPr>
        <w:t>software</w:t>
      </w:r>
      <w:r w:rsidR="00E76C3D" w:rsidRPr="00E366AE">
        <w:rPr>
          <w:sz w:val="28"/>
        </w:rPr>
        <w:t xml:space="preserve"> gestionali SISSI e SIDI</w:t>
      </w:r>
      <w:r w:rsidR="00740CF1" w:rsidRPr="00E366AE">
        <w:rPr>
          <w:sz w:val="28"/>
        </w:rPr>
        <w:t xml:space="preserve"> </w:t>
      </w:r>
      <w:r w:rsidR="00134B33" w:rsidRPr="00E366AE">
        <w:rPr>
          <w:sz w:val="28"/>
        </w:rPr>
        <w:t xml:space="preserve">che </w:t>
      </w:r>
      <w:r w:rsidR="00740CF1" w:rsidRPr="00E366AE">
        <w:rPr>
          <w:sz w:val="28"/>
        </w:rPr>
        <w:t xml:space="preserve">assicuravano e </w:t>
      </w:r>
      <w:r w:rsidR="00740CF1" w:rsidRPr="00E366AE">
        <w:rPr>
          <w:sz w:val="28"/>
        </w:rPr>
        <w:lastRenderedPageBreak/>
        <w:t xml:space="preserve">continuano ad assicurare l’accesso in lettura ai </w:t>
      </w:r>
      <w:r w:rsidR="00740CF1" w:rsidRPr="00E366AE">
        <w:rPr>
          <w:i/>
          <w:sz w:val="28"/>
        </w:rPr>
        <w:t>database</w:t>
      </w:r>
      <w:r w:rsidR="00740CF1" w:rsidRPr="00E366AE">
        <w:rPr>
          <w:sz w:val="28"/>
        </w:rPr>
        <w:t xml:space="preserve">. Tale </w:t>
      </w:r>
      <w:r w:rsidR="0071088A" w:rsidRPr="00E366AE">
        <w:rPr>
          <w:sz w:val="28"/>
        </w:rPr>
        <w:t xml:space="preserve">modalità di </w:t>
      </w:r>
      <w:r w:rsidR="00740CF1" w:rsidRPr="00E366AE">
        <w:rPr>
          <w:sz w:val="28"/>
        </w:rPr>
        <w:t xml:space="preserve">accesso </w:t>
      </w:r>
      <w:r w:rsidR="00B06030" w:rsidRPr="00E366AE">
        <w:rPr>
          <w:sz w:val="28"/>
        </w:rPr>
        <w:t xml:space="preserve">consente l’uso dei </w:t>
      </w:r>
      <w:r w:rsidR="00740CF1" w:rsidRPr="00E366AE">
        <w:rPr>
          <w:sz w:val="28"/>
        </w:rPr>
        <w:t xml:space="preserve">prodotti </w:t>
      </w:r>
      <w:proofErr w:type="spellStart"/>
      <w:r w:rsidR="00134B33" w:rsidRPr="00E366AE">
        <w:rPr>
          <w:sz w:val="28"/>
        </w:rPr>
        <w:t>Infoschool</w:t>
      </w:r>
      <w:proofErr w:type="spellEnd"/>
      <w:r w:rsidR="00B06030" w:rsidRPr="00E366AE">
        <w:rPr>
          <w:sz w:val="28"/>
        </w:rPr>
        <w:t xml:space="preserve"> per il registro elettronico e per le comunicazioni scuola</w:t>
      </w:r>
      <w:r w:rsidR="00C00BB0" w:rsidRPr="00E366AE">
        <w:rPr>
          <w:sz w:val="28"/>
        </w:rPr>
        <w:t>-</w:t>
      </w:r>
      <w:r w:rsidR="00B06030" w:rsidRPr="00E366AE">
        <w:rPr>
          <w:sz w:val="28"/>
        </w:rPr>
        <w:t>famiglia in formato elettronico in quanto tali prodotti</w:t>
      </w:r>
      <w:r w:rsidR="00740CF1" w:rsidRPr="00E366AE">
        <w:rPr>
          <w:sz w:val="28"/>
        </w:rPr>
        <w:t xml:space="preserve"> non necessitano dell’accesso in scrittura ai </w:t>
      </w:r>
      <w:r w:rsidR="00740CF1" w:rsidRPr="00E366AE">
        <w:rPr>
          <w:i/>
          <w:sz w:val="28"/>
        </w:rPr>
        <w:t>database</w:t>
      </w:r>
      <w:r w:rsidR="00740CF1" w:rsidRPr="00E366AE">
        <w:rPr>
          <w:sz w:val="28"/>
        </w:rPr>
        <w:t xml:space="preserve"> contenenti le anagrafiche di alunni, famiglie e docenti. I prodotti </w:t>
      </w:r>
      <w:proofErr w:type="spellStart"/>
      <w:r w:rsidR="00740CF1" w:rsidRPr="00E366AE">
        <w:rPr>
          <w:sz w:val="28"/>
        </w:rPr>
        <w:t>Infoschool</w:t>
      </w:r>
      <w:proofErr w:type="spellEnd"/>
      <w:r w:rsidR="00134B33" w:rsidRPr="00E366AE">
        <w:rPr>
          <w:sz w:val="28"/>
        </w:rPr>
        <w:t>,</w:t>
      </w:r>
      <w:r w:rsidR="00740CF1" w:rsidRPr="00E366AE">
        <w:rPr>
          <w:sz w:val="28"/>
        </w:rPr>
        <w:t xml:space="preserve"> svi</w:t>
      </w:r>
      <w:r w:rsidR="00134B33" w:rsidRPr="00E366AE">
        <w:rPr>
          <w:sz w:val="28"/>
        </w:rPr>
        <w:t>luppati e distribuiti</w:t>
      </w:r>
      <w:r w:rsidR="00740CF1" w:rsidRPr="00E366AE">
        <w:rPr>
          <w:sz w:val="28"/>
        </w:rPr>
        <w:t xml:space="preserve"> da Spaggiari</w:t>
      </w:r>
      <w:r w:rsidR="00134B33" w:rsidRPr="00E366AE">
        <w:rPr>
          <w:sz w:val="28"/>
        </w:rPr>
        <w:t>,</w:t>
      </w:r>
      <w:r w:rsidR="00740CF1" w:rsidRPr="00E366AE">
        <w:rPr>
          <w:sz w:val="28"/>
        </w:rPr>
        <w:t xml:space="preserve"> sono perfettamente interoperabili con i programmi sviluppati da altri operatori.</w:t>
      </w:r>
      <w:r w:rsidR="00E366AE">
        <w:rPr>
          <w:sz w:val="28"/>
        </w:rPr>
        <w:t xml:space="preserve"> </w:t>
      </w:r>
    </w:p>
    <w:p w:rsidR="00E71214"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E71214" w:rsidRPr="00E366AE">
        <w:rPr>
          <w:sz w:val="28"/>
        </w:rPr>
        <w:t xml:space="preserve">Secondo Spaggiari le condotte di Argo e </w:t>
      </w:r>
      <w:proofErr w:type="spellStart"/>
      <w:r w:rsidR="00E71214" w:rsidRPr="00E366AE">
        <w:rPr>
          <w:sz w:val="28"/>
        </w:rPr>
        <w:t>Axios</w:t>
      </w:r>
      <w:proofErr w:type="spellEnd"/>
      <w:r w:rsidR="00E71214" w:rsidRPr="00E366AE">
        <w:rPr>
          <w:sz w:val="28"/>
        </w:rPr>
        <w:t xml:space="preserve"> sopra delineate sono finalizzate ad impedire che le scuole che adottano un gestionale di tali società scelgano per il registro elettronico e per le comunicazioni scuola</w:t>
      </w:r>
      <w:r w:rsidR="0071088A" w:rsidRPr="00E366AE">
        <w:rPr>
          <w:sz w:val="28"/>
        </w:rPr>
        <w:t>-</w:t>
      </w:r>
      <w:r w:rsidR="00E71214" w:rsidRPr="00E366AE">
        <w:rPr>
          <w:sz w:val="28"/>
        </w:rPr>
        <w:t xml:space="preserve">famiglia un altro operatore. Spaggiari ritiene che Argo e </w:t>
      </w:r>
      <w:proofErr w:type="spellStart"/>
      <w:r w:rsidR="00E71214" w:rsidRPr="00E366AE">
        <w:rPr>
          <w:sz w:val="28"/>
        </w:rPr>
        <w:t>Axios</w:t>
      </w:r>
      <w:proofErr w:type="spellEnd"/>
      <w:r w:rsidR="00E71214" w:rsidRPr="00E366AE">
        <w:rPr>
          <w:sz w:val="28"/>
        </w:rPr>
        <w:t xml:space="preserve"> non si contendano i rispettivi clienti, nel senso che non offrono i propri applicativi per il registro di classe e per le comunicazioni scuola famiglia agli istituti scolastici che usano il gestionale dell’altra.</w:t>
      </w:r>
    </w:p>
    <w:p w:rsidR="00572807" w:rsidRPr="00E366AE" w:rsidRDefault="00572807"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
          <w:bCs/>
          <w:sz w:val="28"/>
          <w:szCs w:val="26"/>
        </w:rPr>
        <w:t xml:space="preserve"> </w:t>
      </w:r>
      <w:r w:rsidRPr="00E366AE">
        <w:rPr>
          <w:sz w:val="28"/>
        </w:rPr>
        <w:t xml:space="preserve">Spaggiari ha altresì richiesto l’applicazione di misure cautelari volte a ripristinare le condizioni di interoperabilità dei </w:t>
      </w:r>
      <w:r w:rsidRPr="00E366AE">
        <w:rPr>
          <w:i/>
          <w:sz w:val="28"/>
        </w:rPr>
        <w:t>software</w:t>
      </w:r>
      <w:r w:rsidRPr="00E366AE">
        <w:rPr>
          <w:sz w:val="28"/>
        </w:rPr>
        <w:t xml:space="preserve"> gestionali di Argo e </w:t>
      </w:r>
      <w:proofErr w:type="spellStart"/>
      <w:r w:rsidRPr="00E366AE">
        <w:rPr>
          <w:sz w:val="28"/>
        </w:rPr>
        <w:t>Axios</w:t>
      </w:r>
      <w:proofErr w:type="spellEnd"/>
      <w:r w:rsidRPr="00E366AE">
        <w:rPr>
          <w:sz w:val="28"/>
        </w:rPr>
        <w:t xml:space="preserve"> esistenti fino all’inizio dell’anno scolastico 2011-2012 e consistent</w:t>
      </w:r>
      <w:r w:rsidR="00664F93" w:rsidRPr="00E366AE">
        <w:rPr>
          <w:sz w:val="28"/>
        </w:rPr>
        <w:t>i</w:t>
      </w:r>
      <w:r w:rsidRPr="00E366AE">
        <w:rPr>
          <w:sz w:val="28"/>
        </w:rPr>
        <w:t xml:space="preserve"> nell’accesso in lettura e scrittura ai </w:t>
      </w:r>
      <w:r w:rsidRPr="00E366AE">
        <w:rPr>
          <w:i/>
          <w:sz w:val="28"/>
        </w:rPr>
        <w:t>database</w:t>
      </w:r>
      <w:r w:rsidRPr="00E366AE">
        <w:rPr>
          <w:sz w:val="28"/>
        </w:rPr>
        <w:t xml:space="preserve"> contenenti i dati degli istituti scolastici attraverso </w:t>
      </w:r>
      <w:r w:rsidR="00664F93" w:rsidRPr="00E366AE">
        <w:rPr>
          <w:sz w:val="28"/>
        </w:rPr>
        <w:t xml:space="preserve">opportune </w:t>
      </w:r>
      <w:r w:rsidRPr="00E366AE">
        <w:rPr>
          <w:sz w:val="28"/>
        </w:rPr>
        <w:t>interfacce.</w:t>
      </w:r>
    </w:p>
    <w:p w:rsidR="00E71214" w:rsidRDefault="00E71214" w:rsidP="001063FB">
      <w:pPr>
        <w:widowControl w:val="0"/>
        <w:spacing w:line="350" w:lineRule="atLeast"/>
        <w:rPr>
          <w:sz w:val="28"/>
        </w:rPr>
      </w:pPr>
    </w:p>
    <w:p w:rsidR="00E366AE" w:rsidRPr="00E366AE" w:rsidRDefault="00E366AE" w:rsidP="001063FB">
      <w:pPr>
        <w:widowControl w:val="0"/>
        <w:spacing w:line="350" w:lineRule="atLeast"/>
        <w:rPr>
          <w:sz w:val="28"/>
        </w:rPr>
      </w:pPr>
    </w:p>
    <w:p w:rsidR="006B5E55" w:rsidRPr="00E366AE" w:rsidRDefault="00E366AE" w:rsidP="001063FB">
      <w:pPr>
        <w:widowControl w:val="0"/>
        <w:spacing w:line="350" w:lineRule="atLeast"/>
        <w:rPr>
          <w:b/>
          <w:sz w:val="28"/>
        </w:rPr>
      </w:pPr>
      <w:r>
        <w:rPr>
          <w:b/>
          <w:sz w:val="28"/>
        </w:rPr>
        <w:t xml:space="preserve">III. </w:t>
      </w:r>
      <w:r w:rsidR="006B5E55" w:rsidRPr="00E366AE">
        <w:rPr>
          <w:b/>
          <w:sz w:val="28"/>
        </w:rPr>
        <w:t>VALUTAZIONI</w:t>
      </w:r>
    </w:p>
    <w:p w:rsidR="004C437E" w:rsidRPr="00E366AE" w:rsidRDefault="004C437E" w:rsidP="001063FB">
      <w:pPr>
        <w:widowControl w:val="0"/>
        <w:spacing w:line="350" w:lineRule="atLeast"/>
        <w:rPr>
          <w:sz w:val="28"/>
        </w:rPr>
      </w:pPr>
    </w:p>
    <w:p w:rsidR="006B5E55" w:rsidRPr="00E366AE" w:rsidRDefault="006B5E55" w:rsidP="001063FB">
      <w:pPr>
        <w:widowControl w:val="0"/>
        <w:spacing w:line="350" w:lineRule="atLeast"/>
        <w:rPr>
          <w:b/>
          <w:i/>
          <w:sz w:val="28"/>
        </w:rPr>
      </w:pPr>
      <w:r w:rsidRPr="00E366AE">
        <w:rPr>
          <w:b/>
          <w:i/>
          <w:sz w:val="28"/>
        </w:rPr>
        <w:t>I mercati rilevanti</w:t>
      </w:r>
    </w:p>
    <w:p w:rsidR="006B5E55" w:rsidRPr="00E366AE" w:rsidRDefault="006B5E55" w:rsidP="001063FB">
      <w:pPr>
        <w:widowControl w:val="0"/>
        <w:spacing w:line="350" w:lineRule="atLeast"/>
        <w:rPr>
          <w:sz w:val="28"/>
        </w:rPr>
      </w:pPr>
    </w:p>
    <w:p w:rsidR="002E6FCA"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832F78" w:rsidRPr="00E366AE">
        <w:rPr>
          <w:sz w:val="28"/>
        </w:rPr>
        <w:t>P</w:t>
      </w:r>
      <w:r w:rsidR="002E6FCA" w:rsidRPr="00E366AE">
        <w:rPr>
          <w:sz w:val="28"/>
        </w:rPr>
        <w:t>reliminarmente</w:t>
      </w:r>
      <w:r w:rsidR="00832F78" w:rsidRPr="00E366AE">
        <w:rPr>
          <w:sz w:val="28"/>
        </w:rPr>
        <w:t xml:space="preserve">, si osserva che nei casi di intesa la definizione del mercato rilevante </w:t>
      </w:r>
      <w:r w:rsidR="00FA18BF" w:rsidRPr="00E366AE">
        <w:rPr>
          <w:sz w:val="28"/>
        </w:rPr>
        <w:t>è essenzialmente volta a individuare le caratteristiche del contesto economico e giuridico nel quale si collocano le condotte illecite.</w:t>
      </w:r>
      <w:r w:rsidR="002E6FCA" w:rsidRPr="00E366AE">
        <w:rPr>
          <w:sz w:val="28"/>
        </w:rPr>
        <w:t xml:space="preserve"> </w:t>
      </w:r>
      <w:r w:rsidR="00FA18BF" w:rsidRPr="00E366AE">
        <w:rPr>
          <w:sz w:val="28"/>
        </w:rPr>
        <w:t xml:space="preserve">Ai fini della valutazione di un’intesa, infatti, tale definizione risulta funzionale all’individuazione dell’ambito merceologico e territoriale nel quale si manifesta il coordinamento tra imprese concorrenti e si realizzano gli effetti dell’illecito concorrenziale. </w:t>
      </w:r>
      <w:r w:rsidR="002E6FCA" w:rsidRPr="00E366AE">
        <w:rPr>
          <w:sz w:val="28"/>
        </w:rPr>
        <w:t xml:space="preserve">Al riguardo, </w:t>
      </w:r>
      <w:r w:rsidR="00073EBC" w:rsidRPr="00E366AE">
        <w:rPr>
          <w:sz w:val="28"/>
        </w:rPr>
        <w:t xml:space="preserve">la </w:t>
      </w:r>
      <w:r w:rsidR="002E6FCA" w:rsidRPr="00E366AE">
        <w:rPr>
          <w:sz w:val="28"/>
        </w:rPr>
        <w:t>consolidata giurisprudenza del Consiglio di Stato</w:t>
      </w:r>
      <w:r w:rsidR="00073EBC" w:rsidRPr="00E366AE">
        <w:rPr>
          <w:sz w:val="28"/>
        </w:rPr>
        <w:t xml:space="preserve"> afferma che</w:t>
      </w:r>
      <w:r w:rsidR="002E6FCA" w:rsidRPr="00E366AE">
        <w:rPr>
          <w:sz w:val="28"/>
        </w:rPr>
        <w:t xml:space="preserve"> </w:t>
      </w:r>
      <w:r w:rsidR="00BA5068" w:rsidRPr="00E366AE">
        <w:rPr>
          <w:sz w:val="28"/>
        </w:rPr>
        <w:t xml:space="preserve">nel caso delle intese </w:t>
      </w:r>
      <w:r w:rsidR="002E6FCA" w:rsidRPr="00E366AE">
        <w:rPr>
          <w:sz w:val="28"/>
        </w:rPr>
        <w:t>“</w:t>
      </w:r>
      <w:r w:rsidR="00BA5068" w:rsidRPr="00E366AE">
        <w:rPr>
          <w:i/>
          <w:sz w:val="28"/>
        </w:rPr>
        <w:t>l'individuazione del mercato non appartiene</w:t>
      </w:r>
      <w:r w:rsidR="00BA5068" w:rsidRPr="00E366AE">
        <w:rPr>
          <w:sz w:val="28"/>
        </w:rPr>
        <w:t xml:space="preserve"> […] </w:t>
      </w:r>
      <w:r w:rsidR="00BA5068" w:rsidRPr="00E366AE">
        <w:rPr>
          <w:i/>
          <w:sz w:val="28"/>
        </w:rPr>
        <w:t xml:space="preserve">alla fase dei presupposti dell'illecito, ma è funzionale alla decifrazione del suo grado di </w:t>
      </w:r>
      <w:proofErr w:type="spellStart"/>
      <w:r w:rsidR="00BA5068" w:rsidRPr="00E366AE">
        <w:rPr>
          <w:i/>
          <w:sz w:val="28"/>
        </w:rPr>
        <w:t>offensività</w:t>
      </w:r>
      <w:proofErr w:type="spellEnd"/>
      <w:r w:rsidR="002E6FCA" w:rsidRPr="00E366AE">
        <w:rPr>
          <w:sz w:val="28"/>
        </w:rPr>
        <w:t>”</w:t>
      </w:r>
      <w:r w:rsidR="002E6FCA" w:rsidRPr="00E366AE">
        <w:rPr>
          <w:rStyle w:val="Rimandonotaapidipagina"/>
          <w:sz w:val="28"/>
        </w:rPr>
        <w:footnoteReference w:id="4"/>
      </w:r>
      <w:r w:rsidR="002E6FCA" w:rsidRPr="00E366AE">
        <w:rPr>
          <w:sz w:val="28"/>
        </w:rPr>
        <w:t>.</w:t>
      </w:r>
    </w:p>
    <w:p w:rsidR="001870F3"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1870F3" w:rsidRPr="00E366AE">
        <w:rPr>
          <w:sz w:val="28"/>
        </w:rPr>
        <w:t>Il caso in esame riguarda i</w:t>
      </w:r>
      <w:r w:rsidR="00FA18BF" w:rsidRPr="00E366AE">
        <w:rPr>
          <w:sz w:val="28"/>
        </w:rPr>
        <w:t>l</w:t>
      </w:r>
      <w:r w:rsidR="001870F3" w:rsidRPr="00E366AE">
        <w:rPr>
          <w:sz w:val="28"/>
        </w:rPr>
        <w:t xml:space="preserve"> mercat</w:t>
      </w:r>
      <w:r w:rsidR="00FA18BF" w:rsidRPr="00E366AE">
        <w:rPr>
          <w:sz w:val="28"/>
        </w:rPr>
        <w:t>o</w:t>
      </w:r>
      <w:r w:rsidR="001870F3" w:rsidRPr="00E366AE">
        <w:rPr>
          <w:sz w:val="28"/>
        </w:rPr>
        <w:t xml:space="preserve"> dei </w:t>
      </w:r>
      <w:r w:rsidR="001870F3" w:rsidRPr="00E366AE">
        <w:rPr>
          <w:i/>
          <w:sz w:val="28"/>
        </w:rPr>
        <w:t>software</w:t>
      </w:r>
      <w:r w:rsidR="001870F3" w:rsidRPr="00E366AE">
        <w:rPr>
          <w:sz w:val="28"/>
        </w:rPr>
        <w:t xml:space="preserve"> gestionali per le scuole e </w:t>
      </w:r>
      <w:r w:rsidR="00FA18BF" w:rsidRPr="00E366AE">
        <w:rPr>
          <w:sz w:val="28"/>
        </w:rPr>
        <w:t xml:space="preserve">quello </w:t>
      </w:r>
      <w:r w:rsidR="001870F3" w:rsidRPr="00E366AE">
        <w:rPr>
          <w:sz w:val="28"/>
        </w:rPr>
        <w:t>de</w:t>
      </w:r>
      <w:r w:rsidR="00B06030" w:rsidRPr="00E366AE">
        <w:rPr>
          <w:sz w:val="28"/>
        </w:rPr>
        <w:t>gli applicativi</w:t>
      </w:r>
      <w:r w:rsidR="00E366AE">
        <w:rPr>
          <w:sz w:val="28"/>
        </w:rPr>
        <w:t xml:space="preserve"> </w:t>
      </w:r>
      <w:r w:rsidR="00B06030" w:rsidRPr="00E366AE">
        <w:rPr>
          <w:sz w:val="28"/>
        </w:rPr>
        <w:t xml:space="preserve">innovativi per scuole, con particolare riferimento al </w:t>
      </w:r>
      <w:r w:rsidR="00B06030" w:rsidRPr="00E366AE">
        <w:rPr>
          <w:sz w:val="28"/>
        </w:rPr>
        <w:lastRenderedPageBreak/>
        <w:t xml:space="preserve">registro elettronico e alle comunicazioni </w:t>
      </w:r>
      <w:r w:rsidR="001870F3" w:rsidRPr="00E366AE">
        <w:rPr>
          <w:sz w:val="28"/>
        </w:rPr>
        <w:t>scuola</w:t>
      </w:r>
      <w:r w:rsidR="00832F78" w:rsidRPr="00E366AE">
        <w:rPr>
          <w:sz w:val="28"/>
        </w:rPr>
        <w:t>-</w:t>
      </w:r>
      <w:r w:rsidR="001870F3" w:rsidRPr="00E366AE">
        <w:rPr>
          <w:sz w:val="28"/>
        </w:rPr>
        <w:t xml:space="preserve">famiglia in formato elettronico. I gestionali riguardano i servizi generali e amministrativi delle scuole mentre </w:t>
      </w:r>
      <w:r w:rsidR="00B06030" w:rsidRPr="00E366AE">
        <w:rPr>
          <w:sz w:val="28"/>
        </w:rPr>
        <w:t>gli applicativi innovativi att</w:t>
      </w:r>
      <w:r w:rsidR="001870F3" w:rsidRPr="00E366AE">
        <w:rPr>
          <w:sz w:val="28"/>
        </w:rPr>
        <w:t>en</w:t>
      </w:r>
      <w:r w:rsidR="00B06030" w:rsidRPr="00E366AE">
        <w:rPr>
          <w:sz w:val="28"/>
        </w:rPr>
        <w:t>gono</w:t>
      </w:r>
      <w:r w:rsidR="001870F3" w:rsidRPr="00E366AE">
        <w:rPr>
          <w:sz w:val="28"/>
        </w:rPr>
        <w:t xml:space="preserve"> alla sfera didattica e delle comunicazioni scuola</w:t>
      </w:r>
      <w:r w:rsidR="00832F78" w:rsidRPr="00E366AE">
        <w:rPr>
          <w:sz w:val="28"/>
        </w:rPr>
        <w:t>-</w:t>
      </w:r>
      <w:r w:rsidR="001870F3" w:rsidRPr="00E366AE">
        <w:rPr>
          <w:sz w:val="28"/>
        </w:rPr>
        <w:t>famiglia.</w:t>
      </w:r>
    </w:p>
    <w:p w:rsidR="001870F3"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1870F3" w:rsidRPr="00E366AE">
        <w:rPr>
          <w:sz w:val="28"/>
        </w:rPr>
        <w:t xml:space="preserve">Si tratta di mercati connessi ma distinti. Il mercato dei </w:t>
      </w:r>
      <w:r w:rsidR="001870F3" w:rsidRPr="00E366AE">
        <w:rPr>
          <w:i/>
          <w:sz w:val="28"/>
        </w:rPr>
        <w:t>software</w:t>
      </w:r>
      <w:r w:rsidR="001870F3" w:rsidRPr="00E366AE">
        <w:rPr>
          <w:sz w:val="28"/>
        </w:rPr>
        <w:t xml:space="preserve"> gestionali è un mercato maturo. Il mercato del registro elettronico è invece nuovo essendo il registro elettronico e le comunicazioni scuola</w:t>
      </w:r>
      <w:r w:rsidR="00FA18BF" w:rsidRPr="00E366AE">
        <w:rPr>
          <w:sz w:val="28"/>
        </w:rPr>
        <w:t>-</w:t>
      </w:r>
      <w:r w:rsidR="001870F3" w:rsidRPr="00E366AE">
        <w:rPr>
          <w:sz w:val="28"/>
        </w:rPr>
        <w:t xml:space="preserve">famiglia in formato elettronico obbligatorie per le scuole primarie e secondarie di primo e secondo grado a partire dall’anno scolastico 2012 – 2013 (cfr. art. 7, comma 31, </w:t>
      </w:r>
      <w:proofErr w:type="spellStart"/>
      <w:r w:rsidR="001870F3" w:rsidRPr="00E366AE">
        <w:rPr>
          <w:sz w:val="28"/>
        </w:rPr>
        <w:t>d.l.</w:t>
      </w:r>
      <w:proofErr w:type="spellEnd"/>
      <w:r w:rsidR="001870F3" w:rsidRPr="00E366AE">
        <w:rPr>
          <w:sz w:val="28"/>
        </w:rPr>
        <w:t xml:space="preserve"> 6 luglio 2012, n. 95). Il legame tra i mercati del gestionale e de</w:t>
      </w:r>
      <w:r w:rsidR="00073EBC" w:rsidRPr="00E366AE">
        <w:rPr>
          <w:sz w:val="28"/>
        </w:rPr>
        <w:t xml:space="preserve">i servizi innovativi </w:t>
      </w:r>
      <w:r w:rsidR="001870F3" w:rsidRPr="00E366AE">
        <w:rPr>
          <w:sz w:val="28"/>
        </w:rPr>
        <w:t>discende dal fatto che quest</w:t>
      </w:r>
      <w:r w:rsidR="00073EBC" w:rsidRPr="00E366AE">
        <w:rPr>
          <w:sz w:val="28"/>
        </w:rPr>
        <w:t>i ultimi</w:t>
      </w:r>
      <w:r w:rsidR="001870F3" w:rsidRPr="00E366AE">
        <w:rPr>
          <w:sz w:val="28"/>
        </w:rPr>
        <w:t xml:space="preserve"> utilizza</w:t>
      </w:r>
      <w:r w:rsidR="00073EBC" w:rsidRPr="00E366AE">
        <w:rPr>
          <w:sz w:val="28"/>
        </w:rPr>
        <w:t>no</w:t>
      </w:r>
      <w:r w:rsidR="001870F3" w:rsidRPr="00E366AE">
        <w:rPr>
          <w:sz w:val="28"/>
        </w:rPr>
        <w:t xml:space="preserve"> i dati relativi ad alunni</w:t>
      </w:r>
      <w:r w:rsidR="00073EBC" w:rsidRPr="00E366AE">
        <w:rPr>
          <w:sz w:val="28"/>
        </w:rPr>
        <w:t>,</w:t>
      </w:r>
      <w:r w:rsidR="001870F3" w:rsidRPr="00E366AE">
        <w:rPr>
          <w:sz w:val="28"/>
        </w:rPr>
        <w:t xml:space="preserve"> </w:t>
      </w:r>
      <w:r w:rsidR="00073EBC" w:rsidRPr="00E366AE">
        <w:rPr>
          <w:sz w:val="28"/>
        </w:rPr>
        <w:t>f</w:t>
      </w:r>
      <w:r w:rsidR="001870F3" w:rsidRPr="00E366AE">
        <w:rPr>
          <w:sz w:val="28"/>
        </w:rPr>
        <w:t>amiglie</w:t>
      </w:r>
      <w:r w:rsidR="00073EBC" w:rsidRPr="00E366AE">
        <w:rPr>
          <w:sz w:val="28"/>
        </w:rPr>
        <w:t xml:space="preserve"> </w:t>
      </w:r>
      <w:r w:rsidR="001870F3" w:rsidRPr="00E366AE">
        <w:rPr>
          <w:sz w:val="28"/>
        </w:rPr>
        <w:t xml:space="preserve">e </w:t>
      </w:r>
      <w:r w:rsidR="00073EBC" w:rsidRPr="00E366AE">
        <w:rPr>
          <w:sz w:val="28"/>
        </w:rPr>
        <w:t>docenti</w:t>
      </w:r>
      <w:r w:rsidR="001870F3" w:rsidRPr="00E366AE">
        <w:rPr>
          <w:sz w:val="28"/>
        </w:rPr>
        <w:t xml:space="preserve"> che sono in uso anche ai gestionali.</w:t>
      </w:r>
      <w:r w:rsidR="00674723" w:rsidRPr="00E366AE">
        <w:rPr>
          <w:sz w:val="28"/>
        </w:rPr>
        <w:t xml:space="preserve"> L’interoperabilità tra i gestionali e il registro elettronico, ovvero la capacità di tali programmi di funzionare utilizzando i medesimi dati, risulta, dunque, un fattore chiave di successo per quegli operatori che vogliano offrire i propri applicativi per il registro elettronico e le comunicazioni scuola-famiglia ad istituti che adottano un </w:t>
      </w:r>
      <w:r w:rsidR="00674723" w:rsidRPr="00E366AE">
        <w:rPr>
          <w:i/>
          <w:sz w:val="28"/>
        </w:rPr>
        <w:t>software</w:t>
      </w:r>
      <w:r w:rsidR="00674723" w:rsidRPr="00E366AE">
        <w:rPr>
          <w:sz w:val="28"/>
        </w:rPr>
        <w:t xml:space="preserve"> gestionale sviluppato da altri fornitori.</w:t>
      </w:r>
    </w:p>
    <w:p w:rsidR="0066579E"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66579E" w:rsidRPr="00E366AE">
        <w:rPr>
          <w:sz w:val="28"/>
        </w:rPr>
        <w:t xml:space="preserve">Per quanto concerne la dimensione geografica, rileva che sia i </w:t>
      </w:r>
      <w:r w:rsidR="0066579E" w:rsidRPr="00E366AE">
        <w:rPr>
          <w:i/>
          <w:sz w:val="28"/>
        </w:rPr>
        <w:t>software</w:t>
      </w:r>
      <w:r w:rsidR="0066579E" w:rsidRPr="00E366AE">
        <w:rPr>
          <w:sz w:val="28"/>
        </w:rPr>
        <w:t xml:space="preserve"> gestionali </w:t>
      </w:r>
      <w:r w:rsidR="001063FB">
        <w:rPr>
          <w:sz w:val="28"/>
        </w:rPr>
        <w:t>sia</w:t>
      </w:r>
      <w:r w:rsidR="001063FB" w:rsidRPr="00E366AE">
        <w:rPr>
          <w:sz w:val="28"/>
        </w:rPr>
        <w:t xml:space="preserve"> </w:t>
      </w:r>
      <w:r w:rsidR="0066579E" w:rsidRPr="00E366AE">
        <w:rPr>
          <w:sz w:val="28"/>
        </w:rPr>
        <w:t xml:space="preserve">il registro elettronico e gli applicativi per le comunicazioni scuola-famiglia (così come, del resto, eventuali altri programmi innovativi per le esigenze delle scuole) sono destinati ad utilizzatori di lingua italiana che operano nel contesto normativo nazionale. Pertanto, si può ritenere che i mercati rilevanti dei </w:t>
      </w:r>
      <w:r w:rsidR="0066579E" w:rsidRPr="00E366AE">
        <w:rPr>
          <w:i/>
          <w:sz w:val="28"/>
        </w:rPr>
        <w:t>software</w:t>
      </w:r>
      <w:r w:rsidR="0066579E" w:rsidRPr="00E366AE">
        <w:rPr>
          <w:sz w:val="28"/>
        </w:rPr>
        <w:t xml:space="preserve"> gestionali per le scuole e degli applicativi per le esigenze didattiche e le comunicazioni-scuola famiglia si estendano </w:t>
      </w:r>
      <w:r w:rsidR="001063FB">
        <w:rPr>
          <w:sz w:val="28"/>
        </w:rPr>
        <w:t>a</w:t>
      </w:r>
      <w:r w:rsidR="0066579E" w:rsidRPr="00E366AE">
        <w:rPr>
          <w:sz w:val="28"/>
        </w:rPr>
        <w:t>ll’</w:t>
      </w:r>
      <w:r w:rsidR="005A0230" w:rsidRPr="00E366AE">
        <w:rPr>
          <w:sz w:val="28"/>
        </w:rPr>
        <w:t>intero territorio</w:t>
      </w:r>
      <w:r w:rsidR="0066579E" w:rsidRPr="00E366AE">
        <w:rPr>
          <w:sz w:val="28"/>
        </w:rPr>
        <w:t xml:space="preserve"> nazionale. </w:t>
      </w:r>
    </w:p>
    <w:p w:rsidR="00E841B9"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E841B9" w:rsidRPr="00E366AE">
        <w:rPr>
          <w:sz w:val="28"/>
        </w:rPr>
        <w:t xml:space="preserve">Sulla base di </w:t>
      </w:r>
      <w:r w:rsidR="00E36DD8" w:rsidRPr="00E366AE">
        <w:rPr>
          <w:sz w:val="28"/>
        </w:rPr>
        <w:t>informazioni rese disponibili</w:t>
      </w:r>
      <w:r w:rsidR="00073EBC" w:rsidRPr="00E366AE">
        <w:rPr>
          <w:sz w:val="28"/>
        </w:rPr>
        <w:t xml:space="preserve"> nel corso del 2012</w:t>
      </w:r>
      <w:r w:rsidR="00E36DD8" w:rsidRPr="00E366AE">
        <w:rPr>
          <w:sz w:val="28"/>
        </w:rPr>
        <w:t xml:space="preserve"> nell</w:t>
      </w:r>
      <w:r w:rsidR="00073EBC" w:rsidRPr="00E366AE">
        <w:rPr>
          <w:sz w:val="28"/>
        </w:rPr>
        <w:t>’ambito del</w:t>
      </w:r>
      <w:r w:rsidR="00E76C3D" w:rsidRPr="00E366AE">
        <w:rPr>
          <w:sz w:val="28"/>
        </w:rPr>
        <w:t xml:space="preserve"> </w:t>
      </w:r>
      <w:r w:rsidR="00B23705" w:rsidRPr="00E366AE">
        <w:rPr>
          <w:sz w:val="28"/>
        </w:rPr>
        <w:t>Progetto CO.GE. Controllo di Gestione delle Scuole</w:t>
      </w:r>
      <w:r w:rsidR="00073EBC" w:rsidRPr="00E366AE">
        <w:rPr>
          <w:rStyle w:val="Rimandonotaapidipagina"/>
          <w:sz w:val="28"/>
        </w:rPr>
        <w:footnoteReference w:id="5"/>
      </w:r>
      <w:r w:rsidR="00B23705" w:rsidRPr="00E366AE">
        <w:rPr>
          <w:sz w:val="28"/>
        </w:rPr>
        <w:t>,</w:t>
      </w:r>
      <w:r w:rsidR="00E841B9" w:rsidRPr="00E366AE">
        <w:rPr>
          <w:sz w:val="28"/>
        </w:rPr>
        <w:t xml:space="preserve"> </w:t>
      </w:r>
      <w:r w:rsidR="00E36DD8" w:rsidRPr="00E366AE">
        <w:rPr>
          <w:sz w:val="28"/>
        </w:rPr>
        <w:t xml:space="preserve">su un totale di circa 10.500 istituti scolastici il 33% (circa 3.500 istituti) utilizza </w:t>
      </w:r>
      <w:r w:rsidR="00E36DD8" w:rsidRPr="00E366AE">
        <w:rPr>
          <w:i/>
          <w:sz w:val="28"/>
        </w:rPr>
        <w:t>software</w:t>
      </w:r>
      <w:r w:rsidR="00E36DD8" w:rsidRPr="00E366AE">
        <w:rPr>
          <w:sz w:val="28"/>
        </w:rPr>
        <w:t xml:space="preserve"> gestionali sviluppati da Argo, il 21% circa ha scelto </w:t>
      </w:r>
      <w:r w:rsidR="00E36DD8" w:rsidRPr="00E366AE">
        <w:rPr>
          <w:i/>
          <w:sz w:val="28"/>
        </w:rPr>
        <w:t>software</w:t>
      </w:r>
      <w:r w:rsidR="00E36DD8" w:rsidRPr="00E366AE">
        <w:rPr>
          <w:sz w:val="28"/>
        </w:rPr>
        <w:t xml:space="preserve"> gestionali di </w:t>
      </w:r>
      <w:proofErr w:type="spellStart"/>
      <w:r w:rsidR="00E36DD8" w:rsidRPr="00E366AE">
        <w:rPr>
          <w:sz w:val="28"/>
        </w:rPr>
        <w:t>Axios</w:t>
      </w:r>
      <w:proofErr w:type="spellEnd"/>
      <w:r w:rsidR="00E36DD8" w:rsidRPr="00E366AE">
        <w:rPr>
          <w:sz w:val="28"/>
        </w:rPr>
        <w:t xml:space="preserve">, il 6% usa </w:t>
      </w:r>
      <w:r w:rsidR="00E36DD8" w:rsidRPr="00E366AE">
        <w:rPr>
          <w:i/>
          <w:sz w:val="28"/>
        </w:rPr>
        <w:t>software</w:t>
      </w:r>
      <w:r w:rsidR="00E36DD8" w:rsidRPr="00E366AE">
        <w:rPr>
          <w:sz w:val="28"/>
        </w:rPr>
        <w:t xml:space="preserve"> gestionali </w:t>
      </w:r>
      <w:proofErr w:type="spellStart"/>
      <w:r w:rsidR="00E36DD8" w:rsidRPr="00E366AE">
        <w:rPr>
          <w:sz w:val="28"/>
        </w:rPr>
        <w:t>Infoschool</w:t>
      </w:r>
      <w:proofErr w:type="spellEnd"/>
      <w:r w:rsidR="00E36DD8" w:rsidRPr="00E366AE">
        <w:rPr>
          <w:sz w:val="28"/>
        </w:rPr>
        <w:t xml:space="preserve"> forniti da Spaggiari, il 4% circa ricorre ad altri fornitori.</w:t>
      </w:r>
      <w:r w:rsidR="00051388" w:rsidRPr="00E366AE">
        <w:rPr>
          <w:sz w:val="28"/>
        </w:rPr>
        <w:t xml:space="preserve"> Il 36% circa (circa 3.800) adotta i </w:t>
      </w:r>
      <w:r w:rsidR="00051388" w:rsidRPr="00E366AE">
        <w:rPr>
          <w:i/>
          <w:sz w:val="28"/>
        </w:rPr>
        <w:t>software</w:t>
      </w:r>
      <w:r w:rsidR="00051388" w:rsidRPr="00E366AE">
        <w:rPr>
          <w:sz w:val="28"/>
        </w:rPr>
        <w:t xml:space="preserve"> gestionali SISSI e SIDI messi a disposizione gratuitamente dal Ministero; d</w:t>
      </w:r>
      <w:r w:rsidR="00E76C3D" w:rsidRPr="00E366AE">
        <w:rPr>
          <w:sz w:val="28"/>
        </w:rPr>
        <w:t xml:space="preserve">alle informazioni agli atti risulta che i prodotti SISSI e SIDI sono stati sviluppati da </w:t>
      </w:r>
      <w:proofErr w:type="spellStart"/>
      <w:r w:rsidR="00E76C3D" w:rsidRPr="00E366AE">
        <w:rPr>
          <w:sz w:val="28"/>
        </w:rPr>
        <w:t>Axios</w:t>
      </w:r>
      <w:proofErr w:type="spellEnd"/>
      <w:r w:rsidR="00E76C3D" w:rsidRPr="00E366AE">
        <w:rPr>
          <w:sz w:val="28"/>
        </w:rPr>
        <w:t>.</w:t>
      </w:r>
    </w:p>
    <w:p w:rsidR="00E76C3D" w:rsidRPr="00E366AE" w:rsidRDefault="0069073A"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0755DC" w:rsidRPr="00E366AE">
        <w:rPr>
          <w:bCs/>
          <w:sz w:val="28"/>
          <w:szCs w:val="26"/>
        </w:rPr>
        <w:t>I</w:t>
      </w:r>
      <w:r w:rsidR="00E76C3D" w:rsidRPr="00E366AE">
        <w:rPr>
          <w:sz w:val="28"/>
        </w:rPr>
        <w:t>l Ministero non mette a disposizione delle scuole prodotti gratuiti per il registro elettronico e le comunicazioni scuola</w:t>
      </w:r>
      <w:r w:rsidR="00051388" w:rsidRPr="00E366AE">
        <w:rPr>
          <w:sz w:val="28"/>
        </w:rPr>
        <w:t>-</w:t>
      </w:r>
      <w:r w:rsidR="00E76C3D" w:rsidRPr="00E366AE">
        <w:rPr>
          <w:sz w:val="28"/>
        </w:rPr>
        <w:t>famiglia in formato elettronico.</w:t>
      </w:r>
    </w:p>
    <w:p w:rsidR="006B5E55" w:rsidRPr="00E366AE" w:rsidRDefault="00BA1FB0" w:rsidP="001063FB">
      <w:pPr>
        <w:widowControl w:val="0"/>
        <w:spacing w:line="350" w:lineRule="atLeast"/>
        <w:rPr>
          <w:b/>
          <w:i/>
          <w:sz w:val="28"/>
        </w:rPr>
      </w:pPr>
      <w:r w:rsidRPr="00E366AE">
        <w:rPr>
          <w:b/>
          <w:i/>
          <w:sz w:val="28"/>
        </w:rPr>
        <w:lastRenderedPageBreak/>
        <w:t>Le condotte</w:t>
      </w:r>
      <w:r w:rsidR="002C6A0A" w:rsidRPr="00E366AE">
        <w:rPr>
          <w:b/>
          <w:i/>
          <w:sz w:val="28"/>
        </w:rPr>
        <w:t xml:space="preserve"> contestate</w:t>
      </w:r>
    </w:p>
    <w:p w:rsidR="006B5E55" w:rsidRPr="00E366AE" w:rsidRDefault="006B5E55" w:rsidP="001063FB">
      <w:pPr>
        <w:widowControl w:val="0"/>
        <w:spacing w:line="350" w:lineRule="atLeast"/>
        <w:rPr>
          <w:sz w:val="28"/>
        </w:rPr>
      </w:pPr>
    </w:p>
    <w:p w:rsidR="00146076"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BA1FB0" w:rsidRPr="00E366AE">
        <w:rPr>
          <w:sz w:val="28"/>
        </w:rPr>
        <w:t xml:space="preserve">Argo e </w:t>
      </w:r>
      <w:proofErr w:type="spellStart"/>
      <w:r w:rsidR="00BA1FB0" w:rsidRPr="00E366AE">
        <w:rPr>
          <w:sz w:val="28"/>
        </w:rPr>
        <w:t>Axios</w:t>
      </w:r>
      <w:proofErr w:type="spellEnd"/>
      <w:r w:rsidR="00BA1FB0" w:rsidRPr="00E366AE">
        <w:rPr>
          <w:sz w:val="28"/>
        </w:rPr>
        <w:t xml:space="preserve"> hanno modificato in senso peggiorativo </w:t>
      </w:r>
      <w:r w:rsidR="00F62101" w:rsidRPr="00E366AE">
        <w:rPr>
          <w:sz w:val="28"/>
        </w:rPr>
        <w:t xml:space="preserve">la loro politica </w:t>
      </w:r>
      <w:r w:rsidR="00BA1FB0" w:rsidRPr="00E366AE">
        <w:rPr>
          <w:sz w:val="28"/>
        </w:rPr>
        <w:t xml:space="preserve">di interoperabilità dei propri </w:t>
      </w:r>
      <w:r w:rsidR="00BA1FB0" w:rsidRPr="00E366AE">
        <w:rPr>
          <w:i/>
          <w:sz w:val="28"/>
        </w:rPr>
        <w:t>software</w:t>
      </w:r>
      <w:r w:rsidR="00BA1FB0" w:rsidRPr="00E366AE">
        <w:rPr>
          <w:sz w:val="28"/>
        </w:rPr>
        <w:t xml:space="preserve"> gestionali a ridosso dell’adozione obbligatoria da parte degli istituti scolastici del registro elettronico e di modalità digitali nelle comunicazioni scuola</w:t>
      </w:r>
      <w:r w:rsidR="00F62101" w:rsidRPr="00E366AE">
        <w:rPr>
          <w:sz w:val="28"/>
        </w:rPr>
        <w:t>-</w:t>
      </w:r>
      <w:r w:rsidR="00BA1FB0" w:rsidRPr="00E366AE">
        <w:rPr>
          <w:sz w:val="28"/>
        </w:rPr>
        <w:t>famiglia</w:t>
      </w:r>
      <w:r w:rsidR="00C21533" w:rsidRPr="00E366AE">
        <w:rPr>
          <w:sz w:val="28"/>
        </w:rPr>
        <w:t>, che ha comportato lo sviluppo del mercato degli applicativi innovativi per scuole</w:t>
      </w:r>
      <w:r w:rsidR="00BA1FB0" w:rsidRPr="00E366AE">
        <w:rPr>
          <w:sz w:val="28"/>
        </w:rPr>
        <w:t>. Nello specifico</w:t>
      </w:r>
      <w:r w:rsidR="002C6A0A" w:rsidRPr="00E366AE">
        <w:rPr>
          <w:sz w:val="28"/>
        </w:rPr>
        <w:t>,</w:t>
      </w:r>
      <w:r w:rsidR="00BA1FB0" w:rsidRPr="00E366AE">
        <w:rPr>
          <w:sz w:val="28"/>
        </w:rPr>
        <w:t xml:space="preserve"> fino all’inizio dell’anno scolastico 2011-2012 Argo e </w:t>
      </w:r>
      <w:proofErr w:type="spellStart"/>
      <w:r w:rsidR="00BA1FB0" w:rsidRPr="00E366AE">
        <w:rPr>
          <w:sz w:val="28"/>
        </w:rPr>
        <w:t>Axios</w:t>
      </w:r>
      <w:proofErr w:type="spellEnd"/>
      <w:r w:rsidR="00BA1FB0" w:rsidRPr="00E366AE">
        <w:rPr>
          <w:sz w:val="28"/>
        </w:rPr>
        <w:t xml:space="preserve"> consentivano a soggetti terzi l’accesso ai </w:t>
      </w:r>
      <w:r w:rsidR="00BA1FB0" w:rsidRPr="00E366AE">
        <w:rPr>
          <w:i/>
          <w:sz w:val="28"/>
        </w:rPr>
        <w:t>database</w:t>
      </w:r>
      <w:r w:rsidR="00BA1FB0" w:rsidRPr="00E366AE">
        <w:rPr>
          <w:sz w:val="28"/>
        </w:rPr>
        <w:t xml:space="preserve"> sia in lettura che in scrittura; tale accesso avveniva attraverso interfacce, che consentivano l’interpretazione dei dati. Nel corso dell’anno scolastico </w:t>
      </w:r>
      <w:r w:rsidR="00AF2468" w:rsidRPr="00E366AE">
        <w:rPr>
          <w:sz w:val="28"/>
        </w:rPr>
        <w:t xml:space="preserve">2011-2012 Argo ha bloccato l’accesso ai </w:t>
      </w:r>
      <w:r w:rsidR="00AF2468" w:rsidRPr="00E366AE">
        <w:rPr>
          <w:i/>
          <w:sz w:val="28"/>
        </w:rPr>
        <w:t>database</w:t>
      </w:r>
      <w:r w:rsidR="00AF2468" w:rsidRPr="00E366AE">
        <w:rPr>
          <w:sz w:val="28"/>
        </w:rPr>
        <w:t xml:space="preserve"> sottostanti i </w:t>
      </w:r>
      <w:r w:rsidR="002C6A0A" w:rsidRPr="00E366AE">
        <w:rPr>
          <w:sz w:val="28"/>
        </w:rPr>
        <w:t xml:space="preserve">propri </w:t>
      </w:r>
      <w:r w:rsidR="00AF2468" w:rsidRPr="00E366AE">
        <w:rPr>
          <w:i/>
          <w:sz w:val="28"/>
        </w:rPr>
        <w:t xml:space="preserve">software </w:t>
      </w:r>
      <w:r w:rsidR="00AF2468" w:rsidRPr="00E366AE">
        <w:rPr>
          <w:sz w:val="28"/>
        </w:rPr>
        <w:t xml:space="preserve">gestionali. Nel corso dell’anno scolastico successivo anche </w:t>
      </w:r>
      <w:proofErr w:type="spellStart"/>
      <w:r w:rsidR="00AF2468" w:rsidRPr="00E366AE">
        <w:rPr>
          <w:sz w:val="28"/>
        </w:rPr>
        <w:t>Axios</w:t>
      </w:r>
      <w:proofErr w:type="spellEnd"/>
      <w:r w:rsidR="00AF2468" w:rsidRPr="00E366AE">
        <w:rPr>
          <w:sz w:val="28"/>
        </w:rPr>
        <w:t xml:space="preserve"> ha posto in essere la medesima strategia. </w:t>
      </w:r>
      <w:r w:rsidR="00B325EC" w:rsidRPr="00E366AE">
        <w:rPr>
          <w:sz w:val="28"/>
        </w:rPr>
        <w:t>Pertanto</w:t>
      </w:r>
      <w:r w:rsidR="00AF2468" w:rsidRPr="00E366AE">
        <w:rPr>
          <w:sz w:val="28"/>
        </w:rPr>
        <w:t>, nel corso dell’anno scolastico 2012-2013, quando è divenuta obbligatoria l’adozione del registro elettronico e delle comunicazioni scuola</w:t>
      </w:r>
      <w:r w:rsidR="00F62101" w:rsidRPr="00E366AE">
        <w:rPr>
          <w:sz w:val="28"/>
        </w:rPr>
        <w:t>-</w:t>
      </w:r>
      <w:r w:rsidR="00AF2468" w:rsidRPr="00E366AE">
        <w:rPr>
          <w:sz w:val="28"/>
        </w:rPr>
        <w:t xml:space="preserve">famiglia in formato digitale, </w:t>
      </w:r>
      <w:r w:rsidR="00BA1FB0" w:rsidRPr="00E366AE">
        <w:rPr>
          <w:sz w:val="28"/>
        </w:rPr>
        <w:t xml:space="preserve">entrambe le società avevano bloccato l’accesso sia in scrittura che in lettura ai </w:t>
      </w:r>
      <w:r w:rsidR="00BA1FB0" w:rsidRPr="00E366AE">
        <w:rPr>
          <w:i/>
          <w:sz w:val="28"/>
        </w:rPr>
        <w:t>database</w:t>
      </w:r>
      <w:r w:rsidR="00BA1FB0" w:rsidRPr="00E366AE">
        <w:rPr>
          <w:sz w:val="28"/>
        </w:rPr>
        <w:t xml:space="preserve"> sottostanti i propri </w:t>
      </w:r>
      <w:r w:rsidR="00BA1FB0" w:rsidRPr="00E366AE">
        <w:rPr>
          <w:i/>
          <w:sz w:val="28"/>
        </w:rPr>
        <w:t>software</w:t>
      </w:r>
      <w:r w:rsidR="00BA1FB0" w:rsidRPr="00E366AE">
        <w:rPr>
          <w:sz w:val="28"/>
        </w:rPr>
        <w:t xml:space="preserve"> gestionali e contenenti dati di proprietà delle scuole clienti.</w:t>
      </w:r>
    </w:p>
    <w:p w:rsidR="00AF2468"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BA1FB0" w:rsidRPr="00E366AE">
        <w:rPr>
          <w:sz w:val="28"/>
        </w:rPr>
        <w:t xml:space="preserve">Le modalità di blocco </w:t>
      </w:r>
      <w:r w:rsidR="002C6A0A" w:rsidRPr="00E366AE">
        <w:rPr>
          <w:sz w:val="28"/>
        </w:rPr>
        <w:t xml:space="preserve">dei </w:t>
      </w:r>
      <w:r w:rsidR="002C6A0A" w:rsidRPr="00E366AE">
        <w:rPr>
          <w:i/>
          <w:sz w:val="28"/>
        </w:rPr>
        <w:t>database</w:t>
      </w:r>
      <w:r w:rsidR="002C6A0A" w:rsidRPr="00E366AE">
        <w:rPr>
          <w:sz w:val="28"/>
        </w:rPr>
        <w:t xml:space="preserve"> </w:t>
      </w:r>
      <w:r w:rsidR="00BA1FB0" w:rsidRPr="00E366AE">
        <w:rPr>
          <w:sz w:val="28"/>
        </w:rPr>
        <w:t xml:space="preserve">sono </w:t>
      </w:r>
      <w:r w:rsidR="002C6A0A" w:rsidRPr="00E366AE">
        <w:rPr>
          <w:sz w:val="28"/>
        </w:rPr>
        <w:t xml:space="preserve">state </w:t>
      </w:r>
      <w:r w:rsidR="00BA1FB0" w:rsidRPr="00E366AE">
        <w:rPr>
          <w:sz w:val="28"/>
        </w:rPr>
        <w:t>analoghe per le due società in quanto</w:t>
      </w:r>
      <w:r w:rsidR="002C6A0A" w:rsidRPr="00E366AE">
        <w:rPr>
          <w:sz w:val="28"/>
        </w:rPr>
        <w:t xml:space="preserve"> entrambe</w:t>
      </w:r>
      <w:r w:rsidR="00BA1FB0" w:rsidRPr="00E366AE">
        <w:rPr>
          <w:sz w:val="28"/>
        </w:rPr>
        <w:t xml:space="preserve"> </w:t>
      </w:r>
      <w:r w:rsidR="002C6A0A" w:rsidRPr="00E366AE">
        <w:rPr>
          <w:sz w:val="28"/>
        </w:rPr>
        <w:t>hanno apposto</w:t>
      </w:r>
      <w:r w:rsidR="00BA1FB0" w:rsidRPr="00E366AE">
        <w:rPr>
          <w:sz w:val="28"/>
        </w:rPr>
        <w:t xml:space="preserve"> </w:t>
      </w:r>
      <w:r w:rsidR="00BA1FB0" w:rsidRPr="00E366AE">
        <w:rPr>
          <w:i/>
          <w:sz w:val="28"/>
        </w:rPr>
        <w:t>password</w:t>
      </w:r>
      <w:r w:rsidR="00BA1FB0" w:rsidRPr="00E366AE">
        <w:rPr>
          <w:sz w:val="28"/>
        </w:rPr>
        <w:t xml:space="preserve"> che non sono state comunicate agli istituti, </w:t>
      </w:r>
      <w:r w:rsidR="00F62101" w:rsidRPr="00E366AE">
        <w:rPr>
          <w:sz w:val="28"/>
        </w:rPr>
        <w:t xml:space="preserve">nonostante questi siano i </w:t>
      </w:r>
      <w:r w:rsidR="00BA1FB0" w:rsidRPr="00E366AE">
        <w:rPr>
          <w:sz w:val="28"/>
        </w:rPr>
        <w:t xml:space="preserve">proprietari dei dati e </w:t>
      </w:r>
      <w:r w:rsidR="00F62101" w:rsidRPr="00E366AE">
        <w:rPr>
          <w:sz w:val="28"/>
        </w:rPr>
        <w:t xml:space="preserve">i </w:t>
      </w:r>
      <w:r w:rsidR="00BA1FB0" w:rsidRPr="00E366AE">
        <w:rPr>
          <w:sz w:val="28"/>
        </w:rPr>
        <w:t>responsabili del</w:t>
      </w:r>
      <w:r w:rsidR="00F62101" w:rsidRPr="00E366AE">
        <w:rPr>
          <w:sz w:val="28"/>
        </w:rPr>
        <w:t xml:space="preserve"> loro</w:t>
      </w:r>
      <w:r w:rsidR="00BA1FB0" w:rsidRPr="00E366AE">
        <w:rPr>
          <w:sz w:val="28"/>
        </w:rPr>
        <w:t xml:space="preserve"> trattamento, nemmeno a seguito di esplicite richieste da parte degli stessi. Per entrambe le società tale scelta ha trovato riscontro nelle condizioni di contratto che contengono clausole, di analogo tenore, che impongono alle scuole clienti di non concedere l’accesso a terzi ai </w:t>
      </w:r>
      <w:r w:rsidR="00BA1FB0" w:rsidRPr="00E366AE">
        <w:rPr>
          <w:i/>
          <w:sz w:val="28"/>
        </w:rPr>
        <w:t>database</w:t>
      </w:r>
      <w:r w:rsidR="00BA1FB0" w:rsidRPr="00E366AE">
        <w:rPr>
          <w:sz w:val="28"/>
        </w:rPr>
        <w:t>.</w:t>
      </w:r>
      <w:r w:rsidR="002C5D8D" w:rsidRPr="00E366AE">
        <w:rPr>
          <w:sz w:val="28"/>
        </w:rPr>
        <w:t xml:space="preserve"> </w:t>
      </w:r>
      <w:r w:rsidR="007B2D06" w:rsidRPr="00E366AE">
        <w:rPr>
          <w:sz w:val="28"/>
        </w:rPr>
        <w:t xml:space="preserve">Sia Argo che </w:t>
      </w:r>
      <w:proofErr w:type="spellStart"/>
      <w:r w:rsidR="007B2D06" w:rsidRPr="00E366AE">
        <w:rPr>
          <w:sz w:val="28"/>
        </w:rPr>
        <w:t>Axios</w:t>
      </w:r>
      <w:proofErr w:type="spellEnd"/>
      <w:r w:rsidR="007B2D06" w:rsidRPr="00E366AE">
        <w:rPr>
          <w:sz w:val="28"/>
        </w:rPr>
        <w:t xml:space="preserve"> hanno opposto agli istituti che chiedevano lo sblocco dei </w:t>
      </w:r>
      <w:r w:rsidR="007B2D06" w:rsidRPr="00E366AE">
        <w:rPr>
          <w:i/>
          <w:sz w:val="28"/>
        </w:rPr>
        <w:t>database</w:t>
      </w:r>
      <w:r w:rsidR="007B2D06" w:rsidRPr="00E366AE">
        <w:rPr>
          <w:sz w:val="28"/>
        </w:rPr>
        <w:t xml:space="preserve"> e alla segnalante Spaggiari che i dati di proprietà degli istituti potevano essere esportati in formato ASCII.</w:t>
      </w:r>
    </w:p>
    <w:p w:rsidR="00A819D8"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240FAE" w:rsidRPr="00E366AE">
        <w:rPr>
          <w:sz w:val="28"/>
        </w:rPr>
        <w:t xml:space="preserve">Il cambiamento delle politiche in materia di interoperabilità, che presenta caratteristiche simili per Argo e </w:t>
      </w:r>
      <w:proofErr w:type="spellStart"/>
      <w:r w:rsidR="00240FAE" w:rsidRPr="00E366AE">
        <w:rPr>
          <w:sz w:val="28"/>
        </w:rPr>
        <w:t>Axios</w:t>
      </w:r>
      <w:proofErr w:type="spellEnd"/>
      <w:r w:rsidR="00240FAE" w:rsidRPr="00E366AE">
        <w:rPr>
          <w:sz w:val="28"/>
        </w:rPr>
        <w:t xml:space="preserve">, </w:t>
      </w:r>
      <w:r w:rsidR="001955A2" w:rsidRPr="00E366AE">
        <w:rPr>
          <w:sz w:val="28"/>
        </w:rPr>
        <w:t>appare idoneo</w:t>
      </w:r>
      <w:r w:rsidR="00240FAE" w:rsidRPr="00E366AE">
        <w:rPr>
          <w:sz w:val="28"/>
        </w:rPr>
        <w:t xml:space="preserve"> a creare ostacoli artificiali all’operatività dei concorrenti nel mercato dei servizi innovativi</w:t>
      </w:r>
      <w:r w:rsidR="000473AD" w:rsidRPr="00E366AE">
        <w:rPr>
          <w:sz w:val="28"/>
        </w:rPr>
        <w:t>,</w:t>
      </w:r>
      <w:r w:rsidR="00240FAE" w:rsidRPr="00E366AE">
        <w:rPr>
          <w:sz w:val="28"/>
        </w:rPr>
        <w:t xml:space="preserve"> in una fase di mutamento strutturale della domanda, che da volontaria</w:t>
      </w:r>
      <w:r w:rsidR="00AF216E" w:rsidRPr="00E366AE">
        <w:rPr>
          <w:sz w:val="28"/>
        </w:rPr>
        <w:t xml:space="preserve"> è</w:t>
      </w:r>
      <w:r w:rsidR="00240FAE" w:rsidRPr="00E366AE">
        <w:rPr>
          <w:sz w:val="28"/>
        </w:rPr>
        <w:t xml:space="preserve"> diventa</w:t>
      </w:r>
      <w:r w:rsidR="00AF216E" w:rsidRPr="00E366AE">
        <w:rPr>
          <w:sz w:val="28"/>
        </w:rPr>
        <w:t>ta</w:t>
      </w:r>
      <w:r w:rsidR="00240FAE" w:rsidRPr="00E366AE">
        <w:rPr>
          <w:sz w:val="28"/>
        </w:rPr>
        <w:t xml:space="preserve"> obbligatoria e, dunque, massiva.</w:t>
      </w:r>
      <w:r w:rsidR="00AF216E" w:rsidRPr="00E366AE">
        <w:rPr>
          <w:sz w:val="28"/>
        </w:rPr>
        <w:t xml:space="preserve"> </w:t>
      </w:r>
      <w:r w:rsidR="00A819D8" w:rsidRPr="00E366AE">
        <w:rPr>
          <w:sz w:val="28"/>
        </w:rPr>
        <w:t>Inoltre, la sostanziale non belligeranza che, n</w:t>
      </w:r>
      <w:r w:rsidR="00240FAE" w:rsidRPr="00E366AE">
        <w:rPr>
          <w:sz w:val="28"/>
        </w:rPr>
        <w:t xml:space="preserve">ella ricostruzione della segnalante Spaggiari, </w:t>
      </w:r>
      <w:r w:rsidR="00C21533" w:rsidRPr="00E366AE">
        <w:rPr>
          <w:sz w:val="28"/>
        </w:rPr>
        <w:t>caratterizza i rapporti</w:t>
      </w:r>
      <w:r w:rsidR="00A819D8" w:rsidRPr="00E366AE">
        <w:rPr>
          <w:sz w:val="28"/>
        </w:rPr>
        <w:t xml:space="preserve"> tra</w:t>
      </w:r>
      <w:r w:rsidR="00240FAE" w:rsidRPr="00E366AE">
        <w:rPr>
          <w:sz w:val="28"/>
        </w:rPr>
        <w:t xml:space="preserve"> Argo e </w:t>
      </w:r>
      <w:proofErr w:type="spellStart"/>
      <w:r w:rsidR="00240FAE" w:rsidRPr="00E366AE">
        <w:rPr>
          <w:sz w:val="28"/>
        </w:rPr>
        <w:t>Axios</w:t>
      </w:r>
      <w:proofErr w:type="spellEnd"/>
      <w:r w:rsidR="00A819D8" w:rsidRPr="00E366AE">
        <w:rPr>
          <w:rStyle w:val="Rimandonotaapidipagina"/>
          <w:sz w:val="28"/>
        </w:rPr>
        <w:footnoteReference w:id="6"/>
      </w:r>
      <w:r w:rsidR="00DB7E28" w:rsidRPr="00E366AE">
        <w:rPr>
          <w:sz w:val="28"/>
        </w:rPr>
        <w:t>,</w:t>
      </w:r>
      <w:r w:rsidR="001955A2" w:rsidRPr="00E366AE">
        <w:rPr>
          <w:sz w:val="28"/>
        </w:rPr>
        <w:t xml:space="preserve"> è </w:t>
      </w:r>
      <w:r w:rsidR="00DB7E28" w:rsidRPr="00E366AE">
        <w:rPr>
          <w:sz w:val="28"/>
        </w:rPr>
        <w:t>id</w:t>
      </w:r>
      <w:r w:rsidR="001955A2" w:rsidRPr="00E366AE">
        <w:rPr>
          <w:sz w:val="28"/>
        </w:rPr>
        <w:t>onea a consentire che il blocco de</w:t>
      </w:r>
      <w:r w:rsidR="004C25AD" w:rsidRPr="00E366AE">
        <w:rPr>
          <w:sz w:val="28"/>
        </w:rPr>
        <w:t>ll’operatività dei concorrenti nel mercato dei servizi innovativi</w:t>
      </w:r>
      <w:r w:rsidR="001955A2" w:rsidRPr="00E366AE">
        <w:rPr>
          <w:sz w:val="28"/>
        </w:rPr>
        <w:t xml:space="preserve"> si traduca in una </w:t>
      </w:r>
      <w:r w:rsidR="004C25AD" w:rsidRPr="00E366AE">
        <w:rPr>
          <w:sz w:val="28"/>
        </w:rPr>
        <w:t xml:space="preserve">traslazione in tale ultimo mercato </w:t>
      </w:r>
      <w:r w:rsidR="00997367" w:rsidRPr="00E366AE">
        <w:rPr>
          <w:sz w:val="28"/>
        </w:rPr>
        <w:t>delle posizioni di preminenza</w:t>
      </w:r>
      <w:r w:rsidR="00E366AE">
        <w:rPr>
          <w:sz w:val="28"/>
        </w:rPr>
        <w:t xml:space="preserve"> </w:t>
      </w:r>
      <w:r w:rsidR="004C25AD" w:rsidRPr="00E366AE">
        <w:rPr>
          <w:sz w:val="28"/>
        </w:rPr>
        <w:t xml:space="preserve">che </w:t>
      </w:r>
      <w:r w:rsidR="004C25AD" w:rsidRPr="00E366AE">
        <w:rPr>
          <w:sz w:val="28"/>
        </w:rPr>
        <w:lastRenderedPageBreak/>
        <w:t xml:space="preserve">Argo e </w:t>
      </w:r>
      <w:proofErr w:type="spellStart"/>
      <w:r w:rsidR="004C25AD" w:rsidRPr="00E366AE">
        <w:rPr>
          <w:sz w:val="28"/>
        </w:rPr>
        <w:t>Axios</w:t>
      </w:r>
      <w:proofErr w:type="spellEnd"/>
      <w:r w:rsidR="004C25AD" w:rsidRPr="00E366AE">
        <w:rPr>
          <w:sz w:val="28"/>
        </w:rPr>
        <w:t xml:space="preserve"> detengono </w:t>
      </w:r>
      <w:r w:rsidR="00997367" w:rsidRPr="00E366AE">
        <w:rPr>
          <w:sz w:val="28"/>
        </w:rPr>
        <w:t>nel</w:t>
      </w:r>
      <w:r w:rsidR="004C46C5" w:rsidRPr="00E366AE">
        <w:rPr>
          <w:sz w:val="28"/>
        </w:rPr>
        <w:t xml:space="preserve"> mercato </w:t>
      </w:r>
      <w:r w:rsidR="00997367" w:rsidRPr="00E366AE">
        <w:rPr>
          <w:sz w:val="28"/>
        </w:rPr>
        <w:t>de</w:t>
      </w:r>
      <w:r w:rsidR="004C46C5" w:rsidRPr="00E366AE">
        <w:rPr>
          <w:sz w:val="28"/>
        </w:rPr>
        <w:t xml:space="preserve">i </w:t>
      </w:r>
      <w:r w:rsidR="004C46C5" w:rsidRPr="00E366AE">
        <w:rPr>
          <w:i/>
          <w:sz w:val="28"/>
        </w:rPr>
        <w:t>software</w:t>
      </w:r>
      <w:r w:rsidR="004C46C5" w:rsidRPr="00E366AE">
        <w:rPr>
          <w:sz w:val="28"/>
        </w:rPr>
        <w:t xml:space="preserve"> gestionali.</w:t>
      </w:r>
      <w:r w:rsidR="000473AD" w:rsidRPr="00E366AE">
        <w:rPr>
          <w:sz w:val="28"/>
        </w:rPr>
        <w:t xml:space="preserve"> </w:t>
      </w:r>
    </w:p>
    <w:p w:rsidR="000473AD"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C25AD" w:rsidRPr="00E366AE">
        <w:rPr>
          <w:sz w:val="28"/>
        </w:rPr>
        <w:t>In considerazione del parallelismo delle condotte</w:t>
      </w:r>
      <w:r w:rsidR="00E91B7B" w:rsidRPr="00E366AE">
        <w:rPr>
          <w:sz w:val="28"/>
        </w:rPr>
        <w:t xml:space="preserve"> e</w:t>
      </w:r>
      <w:r w:rsidR="004C25AD" w:rsidRPr="00E366AE">
        <w:rPr>
          <w:sz w:val="28"/>
        </w:rPr>
        <w:t xml:space="preserve"> della fase di mutamento strutturale della domanda nella quale sono intervenute, </w:t>
      </w:r>
      <w:r w:rsidR="003D2AB8" w:rsidRPr="00E366AE">
        <w:rPr>
          <w:sz w:val="28"/>
        </w:rPr>
        <w:t xml:space="preserve">e tenuto conto del fatto che la comune partecipazione all’associazione di categoria </w:t>
      </w:r>
      <w:proofErr w:type="spellStart"/>
      <w:r w:rsidR="003D2AB8" w:rsidRPr="00E366AE">
        <w:rPr>
          <w:sz w:val="28"/>
        </w:rPr>
        <w:t>Assoscuola</w:t>
      </w:r>
      <w:proofErr w:type="spellEnd"/>
      <w:r w:rsidR="003D2AB8" w:rsidRPr="00E366AE">
        <w:rPr>
          <w:sz w:val="28"/>
        </w:rPr>
        <w:t xml:space="preserve"> può aver offerto occasioni di contatti tra Argo e </w:t>
      </w:r>
      <w:proofErr w:type="spellStart"/>
      <w:r w:rsidR="003D2AB8" w:rsidRPr="00E366AE">
        <w:rPr>
          <w:sz w:val="28"/>
        </w:rPr>
        <w:t>Axios</w:t>
      </w:r>
      <w:proofErr w:type="spellEnd"/>
      <w:r w:rsidR="003D2AB8" w:rsidRPr="00E366AE">
        <w:rPr>
          <w:sz w:val="28"/>
        </w:rPr>
        <w:t xml:space="preserve">, </w:t>
      </w:r>
      <w:r w:rsidR="004C25AD" w:rsidRPr="00E366AE">
        <w:rPr>
          <w:sz w:val="28"/>
        </w:rPr>
        <w:t>l</w:t>
      </w:r>
      <w:r w:rsidR="000473AD" w:rsidRPr="00E366AE">
        <w:rPr>
          <w:sz w:val="28"/>
        </w:rPr>
        <w:t xml:space="preserve">e condotte di </w:t>
      </w:r>
      <w:r w:rsidR="003D2AB8" w:rsidRPr="00E366AE">
        <w:rPr>
          <w:sz w:val="28"/>
        </w:rPr>
        <w:t>tali società,</w:t>
      </w:r>
      <w:r w:rsidR="000473AD" w:rsidRPr="00E366AE">
        <w:rPr>
          <w:sz w:val="28"/>
        </w:rPr>
        <w:t xml:space="preserve"> sopra descritte</w:t>
      </w:r>
      <w:r w:rsidR="003D2AB8" w:rsidRPr="00E366AE">
        <w:rPr>
          <w:sz w:val="28"/>
        </w:rPr>
        <w:t>,</w:t>
      </w:r>
      <w:r w:rsidR="000473AD" w:rsidRPr="00E366AE">
        <w:rPr>
          <w:sz w:val="28"/>
        </w:rPr>
        <w:t xml:space="preserve"> </w:t>
      </w:r>
      <w:r w:rsidR="00DB7E28" w:rsidRPr="00E366AE">
        <w:rPr>
          <w:sz w:val="28"/>
        </w:rPr>
        <w:t>sono suscettibili di configurare</w:t>
      </w:r>
      <w:r w:rsidR="000473AD" w:rsidRPr="00E366AE">
        <w:rPr>
          <w:sz w:val="28"/>
        </w:rPr>
        <w:t xml:space="preserve"> un’intesa restrittiva della concorrenza volta ad ostacolare l’operatività dei concorrenti nel mercato dei servizi innovativi per scuole (registro elettronico e comunicazioni scuola</w:t>
      </w:r>
      <w:r w:rsidR="00E40E62" w:rsidRPr="00E366AE">
        <w:rPr>
          <w:sz w:val="28"/>
        </w:rPr>
        <w:t>-</w:t>
      </w:r>
      <w:r w:rsidR="000473AD" w:rsidRPr="00E366AE">
        <w:rPr>
          <w:sz w:val="28"/>
        </w:rPr>
        <w:t>famiglia in formato elettronico nonché eventuali altri servizi) e</w:t>
      </w:r>
      <w:r w:rsidR="00A819D8" w:rsidRPr="00E366AE">
        <w:rPr>
          <w:sz w:val="28"/>
        </w:rPr>
        <w:t>, in ultima analisi,</w:t>
      </w:r>
      <w:r w:rsidR="000473AD" w:rsidRPr="00E366AE">
        <w:rPr>
          <w:sz w:val="28"/>
        </w:rPr>
        <w:t xml:space="preserve"> a traslare in tale mercato le posizioni detenute nel mercato connesso dei </w:t>
      </w:r>
      <w:r w:rsidR="000473AD" w:rsidRPr="00E366AE">
        <w:rPr>
          <w:i/>
          <w:sz w:val="28"/>
        </w:rPr>
        <w:t>software</w:t>
      </w:r>
      <w:r w:rsidR="000473AD" w:rsidRPr="00E366AE">
        <w:rPr>
          <w:sz w:val="28"/>
        </w:rPr>
        <w:t xml:space="preserve"> gestionali per le scuole.</w:t>
      </w:r>
      <w:r w:rsidR="004C25AD" w:rsidRPr="00E366AE">
        <w:rPr>
          <w:sz w:val="28"/>
        </w:rPr>
        <w:t xml:space="preserve"> </w:t>
      </w:r>
      <w:r w:rsidR="001955A2" w:rsidRPr="00E366AE">
        <w:rPr>
          <w:sz w:val="28"/>
        </w:rPr>
        <w:t>L’intesa sarebbe</w:t>
      </w:r>
      <w:r w:rsidR="00E40E62" w:rsidRPr="00E366AE">
        <w:rPr>
          <w:sz w:val="28"/>
        </w:rPr>
        <w:t xml:space="preserve"> stata posta</w:t>
      </w:r>
      <w:r w:rsidR="001955A2" w:rsidRPr="00E366AE">
        <w:rPr>
          <w:sz w:val="28"/>
        </w:rPr>
        <w:t xml:space="preserve"> in essere almeno dall’anno scolastico 2012-2013, nel quale sono divenuti obbligatori il registro elettronico e le comunicazioni scuola</w:t>
      </w:r>
      <w:r w:rsidR="00E40E62" w:rsidRPr="00E366AE">
        <w:rPr>
          <w:sz w:val="28"/>
        </w:rPr>
        <w:t>-</w:t>
      </w:r>
      <w:r w:rsidR="001955A2" w:rsidRPr="00E366AE">
        <w:rPr>
          <w:sz w:val="28"/>
        </w:rPr>
        <w:t xml:space="preserve">famiglia in formato elettronico ed è avvenuto l’allineamento delle condotte di Argo e </w:t>
      </w:r>
      <w:proofErr w:type="spellStart"/>
      <w:r w:rsidR="001955A2" w:rsidRPr="00E366AE">
        <w:rPr>
          <w:sz w:val="28"/>
        </w:rPr>
        <w:t>Axios</w:t>
      </w:r>
      <w:proofErr w:type="spellEnd"/>
      <w:r w:rsidR="001955A2" w:rsidRPr="00E366AE">
        <w:rPr>
          <w:sz w:val="28"/>
        </w:rPr>
        <w:t>.</w:t>
      </w:r>
    </w:p>
    <w:p w:rsidR="000473AD"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4C25AD" w:rsidRPr="00E366AE">
        <w:rPr>
          <w:sz w:val="28"/>
        </w:rPr>
        <w:t>L</w:t>
      </w:r>
      <w:r w:rsidR="000473AD" w:rsidRPr="00E366AE">
        <w:rPr>
          <w:sz w:val="28"/>
        </w:rPr>
        <w:t xml:space="preserve">’intesa ipotizzata </w:t>
      </w:r>
      <w:r w:rsidR="004C25AD" w:rsidRPr="00E366AE">
        <w:rPr>
          <w:sz w:val="28"/>
        </w:rPr>
        <w:t xml:space="preserve">è </w:t>
      </w:r>
      <w:r w:rsidR="00DB7E28" w:rsidRPr="00E366AE">
        <w:rPr>
          <w:sz w:val="28"/>
        </w:rPr>
        <w:t>idonea</w:t>
      </w:r>
      <w:r w:rsidR="004C25AD" w:rsidRPr="00E366AE">
        <w:rPr>
          <w:sz w:val="28"/>
        </w:rPr>
        <w:t xml:space="preserve"> </w:t>
      </w:r>
      <w:r w:rsidR="00DB7E28" w:rsidRPr="00E366AE">
        <w:rPr>
          <w:sz w:val="28"/>
        </w:rPr>
        <w:t>a</w:t>
      </w:r>
      <w:r w:rsidR="004C25AD" w:rsidRPr="00E366AE">
        <w:rPr>
          <w:sz w:val="28"/>
        </w:rPr>
        <w:t xml:space="preserve"> </w:t>
      </w:r>
      <w:r w:rsidR="000473AD" w:rsidRPr="00E366AE">
        <w:rPr>
          <w:sz w:val="28"/>
        </w:rPr>
        <w:t>limita</w:t>
      </w:r>
      <w:r w:rsidR="004C25AD" w:rsidRPr="00E366AE">
        <w:rPr>
          <w:sz w:val="28"/>
        </w:rPr>
        <w:t>re</w:t>
      </w:r>
      <w:r w:rsidR="000473AD" w:rsidRPr="00E366AE">
        <w:rPr>
          <w:sz w:val="28"/>
        </w:rPr>
        <w:t xml:space="preserve"> in maniera sostanziale le possibilità di scelta degli istituti </w:t>
      </w:r>
      <w:r w:rsidR="00AF216E" w:rsidRPr="00E366AE">
        <w:rPr>
          <w:sz w:val="28"/>
        </w:rPr>
        <w:t xml:space="preserve">e </w:t>
      </w:r>
      <w:r w:rsidR="00DB7E28" w:rsidRPr="00E366AE">
        <w:rPr>
          <w:sz w:val="28"/>
        </w:rPr>
        <w:t xml:space="preserve">a </w:t>
      </w:r>
      <w:r w:rsidR="00AF216E" w:rsidRPr="00E366AE">
        <w:rPr>
          <w:sz w:val="28"/>
        </w:rPr>
        <w:t>condiziona</w:t>
      </w:r>
      <w:r w:rsidR="00DB7E28" w:rsidRPr="00E366AE">
        <w:rPr>
          <w:sz w:val="28"/>
        </w:rPr>
        <w:t>re</w:t>
      </w:r>
      <w:r w:rsidR="00AF216E" w:rsidRPr="00E366AE">
        <w:rPr>
          <w:sz w:val="28"/>
        </w:rPr>
        <w:t xml:space="preserve"> la concorrenza dinamica su un mercato innovativo</w:t>
      </w:r>
      <w:r w:rsidR="001955A2" w:rsidRPr="00E366AE">
        <w:rPr>
          <w:sz w:val="28"/>
        </w:rPr>
        <w:t>,</w:t>
      </w:r>
      <w:r w:rsidR="00AF216E" w:rsidRPr="00E366AE">
        <w:rPr>
          <w:sz w:val="28"/>
        </w:rPr>
        <w:t xml:space="preserve"> quale quello del registro elettronico e delle comunicazioni scuola</w:t>
      </w:r>
      <w:r w:rsidR="00301680" w:rsidRPr="00E366AE">
        <w:rPr>
          <w:sz w:val="28"/>
        </w:rPr>
        <w:t>-</w:t>
      </w:r>
      <w:r w:rsidR="00AF216E" w:rsidRPr="00E366AE">
        <w:rPr>
          <w:sz w:val="28"/>
        </w:rPr>
        <w:t>famiglia in formato elettronico</w:t>
      </w:r>
      <w:r w:rsidR="000473AD" w:rsidRPr="00E366AE">
        <w:rPr>
          <w:sz w:val="28"/>
        </w:rPr>
        <w:t xml:space="preserve">, alterando la capacità del mercato di pervenire ad un’allocazione efficiente delle risorse. </w:t>
      </w:r>
      <w:r w:rsidR="00AF216E" w:rsidRPr="00E366AE">
        <w:rPr>
          <w:sz w:val="28"/>
        </w:rPr>
        <w:t>In tal senso l</w:t>
      </w:r>
      <w:r w:rsidR="000473AD" w:rsidRPr="00E366AE">
        <w:rPr>
          <w:sz w:val="28"/>
        </w:rPr>
        <w:t xml:space="preserve">a condotta illecita ipotizzata </w:t>
      </w:r>
      <w:r w:rsidR="00AF216E" w:rsidRPr="00E366AE">
        <w:rPr>
          <w:sz w:val="28"/>
        </w:rPr>
        <w:t>è idonea a</w:t>
      </w:r>
      <w:r w:rsidR="000473AD" w:rsidRPr="00E366AE">
        <w:rPr>
          <w:sz w:val="28"/>
        </w:rPr>
        <w:t xml:space="preserve"> produrre effetti distorsivi </w:t>
      </w:r>
      <w:r w:rsidR="00AF216E" w:rsidRPr="00E366AE">
        <w:rPr>
          <w:sz w:val="28"/>
        </w:rPr>
        <w:t>su</w:t>
      </w:r>
      <w:r w:rsidR="000473AD" w:rsidRPr="00E366AE">
        <w:rPr>
          <w:sz w:val="28"/>
        </w:rPr>
        <w:t>l processo di digitalizzazione delle scuole</w:t>
      </w:r>
      <w:r w:rsidR="0072256F" w:rsidRPr="00E366AE">
        <w:rPr>
          <w:sz w:val="28"/>
        </w:rPr>
        <w:t xml:space="preserve">, con danno </w:t>
      </w:r>
      <w:r w:rsidR="00550EEE" w:rsidRPr="00E366AE">
        <w:rPr>
          <w:sz w:val="28"/>
        </w:rPr>
        <w:t xml:space="preserve">non </w:t>
      </w:r>
      <w:r w:rsidR="0072256F" w:rsidRPr="00E366AE">
        <w:rPr>
          <w:sz w:val="28"/>
        </w:rPr>
        <w:t>solo dei fruitori dei servizi scolastici, e cioè gli alunni e le loro famiglie, ma dell’intera collettività.</w:t>
      </w:r>
    </w:p>
    <w:p w:rsidR="00323C0A"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323C0A" w:rsidRPr="00E366AE">
        <w:rPr>
          <w:sz w:val="28"/>
        </w:rPr>
        <w:t xml:space="preserve">Peraltro, non è da escludersi che l’intesa produca effetti anche sul mercato dei sistemi gestionali. L’ostacolo all’interoperabilità generato dalle condotte di Argo e </w:t>
      </w:r>
      <w:proofErr w:type="spellStart"/>
      <w:r w:rsidR="00323C0A" w:rsidRPr="00E366AE">
        <w:rPr>
          <w:sz w:val="28"/>
        </w:rPr>
        <w:t>Axios</w:t>
      </w:r>
      <w:proofErr w:type="spellEnd"/>
      <w:r w:rsidR="00323C0A" w:rsidRPr="00E366AE">
        <w:rPr>
          <w:sz w:val="28"/>
        </w:rPr>
        <w:t xml:space="preserve"> è infatti suscettibile di ostacolare anche la migrazione da un </w:t>
      </w:r>
      <w:r w:rsidR="00323C0A" w:rsidRPr="00E366AE">
        <w:rPr>
          <w:i/>
          <w:sz w:val="28"/>
        </w:rPr>
        <w:t>software</w:t>
      </w:r>
      <w:r w:rsidR="00323C0A" w:rsidRPr="00E366AE">
        <w:rPr>
          <w:sz w:val="28"/>
        </w:rPr>
        <w:t xml:space="preserve"> gestionale ad un altro</w:t>
      </w:r>
      <w:r w:rsidR="003473DA" w:rsidRPr="00E366AE">
        <w:rPr>
          <w:sz w:val="28"/>
        </w:rPr>
        <w:t>. In altri termini, l’assenza di interop</w:t>
      </w:r>
      <w:r w:rsidR="00AC5666" w:rsidRPr="00E366AE">
        <w:rPr>
          <w:sz w:val="28"/>
        </w:rPr>
        <w:t>e</w:t>
      </w:r>
      <w:r w:rsidR="003473DA" w:rsidRPr="00E366AE">
        <w:rPr>
          <w:sz w:val="28"/>
        </w:rPr>
        <w:t xml:space="preserve">rabilità </w:t>
      </w:r>
      <w:r w:rsidR="00AC5666" w:rsidRPr="00E366AE">
        <w:rPr>
          <w:sz w:val="28"/>
        </w:rPr>
        <w:t>con</w:t>
      </w:r>
      <w:r w:rsidR="003473DA" w:rsidRPr="00E366AE">
        <w:rPr>
          <w:sz w:val="28"/>
        </w:rPr>
        <w:t xml:space="preserve"> i sistemi gestionali </w:t>
      </w:r>
      <w:r w:rsidR="001063FB">
        <w:rPr>
          <w:sz w:val="28"/>
        </w:rPr>
        <w:t xml:space="preserve">di </w:t>
      </w:r>
      <w:proofErr w:type="spellStart"/>
      <w:r w:rsidR="003473DA" w:rsidRPr="00E366AE">
        <w:rPr>
          <w:sz w:val="28"/>
        </w:rPr>
        <w:t>Axios</w:t>
      </w:r>
      <w:proofErr w:type="spellEnd"/>
      <w:r w:rsidR="003473DA" w:rsidRPr="00E366AE">
        <w:rPr>
          <w:sz w:val="28"/>
        </w:rPr>
        <w:t xml:space="preserve"> e </w:t>
      </w:r>
      <w:r w:rsidR="001063FB">
        <w:rPr>
          <w:sz w:val="28"/>
        </w:rPr>
        <w:t xml:space="preserve">di </w:t>
      </w:r>
      <w:r w:rsidR="001063FB" w:rsidRPr="00E366AE">
        <w:rPr>
          <w:sz w:val="28"/>
        </w:rPr>
        <w:t xml:space="preserve">Argo </w:t>
      </w:r>
      <w:r w:rsidR="003473DA" w:rsidRPr="00E366AE">
        <w:rPr>
          <w:sz w:val="28"/>
        </w:rPr>
        <w:t xml:space="preserve">potrebbe essere idonea a limitare il confronto concorrenziale tra le parti </w:t>
      </w:r>
      <w:r w:rsidR="00AC5666" w:rsidRPr="00E366AE">
        <w:rPr>
          <w:sz w:val="28"/>
        </w:rPr>
        <w:t>e con i terzi</w:t>
      </w:r>
      <w:r w:rsidR="000F026A" w:rsidRPr="00E366AE">
        <w:rPr>
          <w:sz w:val="28"/>
        </w:rPr>
        <w:t xml:space="preserve"> ogni volta che </w:t>
      </w:r>
      <w:r w:rsidR="00323C0A" w:rsidRPr="00E366AE">
        <w:rPr>
          <w:sz w:val="28"/>
        </w:rPr>
        <w:t xml:space="preserve">un istituto scolastico intenda </w:t>
      </w:r>
      <w:r w:rsidR="003473DA" w:rsidRPr="00E366AE">
        <w:rPr>
          <w:sz w:val="28"/>
        </w:rPr>
        <w:t xml:space="preserve">sostituire il sistema in adozione. Tale ostacolo alla possibilità di sostituzione </w:t>
      </w:r>
      <w:r w:rsidR="005A01DD" w:rsidRPr="00E366AE">
        <w:rPr>
          <w:sz w:val="28"/>
        </w:rPr>
        <w:t>de</w:t>
      </w:r>
      <w:r w:rsidR="003473DA" w:rsidRPr="00E366AE">
        <w:rPr>
          <w:sz w:val="28"/>
        </w:rPr>
        <w:t xml:space="preserve">i due sistemi gestionali potrebbe tradursi in un disincentivo a condurre politiche commerciali competitive e a introdurre innovazioni nell’ambito dei </w:t>
      </w:r>
      <w:r w:rsidR="003473DA" w:rsidRPr="001063FB">
        <w:rPr>
          <w:i/>
          <w:sz w:val="28"/>
        </w:rPr>
        <w:t>software</w:t>
      </w:r>
      <w:r w:rsidR="003473DA" w:rsidRPr="00E366AE">
        <w:rPr>
          <w:sz w:val="28"/>
        </w:rPr>
        <w:t xml:space="preserve"> gestionali.</w:t>
      </w:r>
    </w:p>
    <w:p w:rsidR="00926074" w:rsidRPr="00E366AE" w:rsidRDefault="000E318F"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Cs/>
          <w:sz w:val="28"/>
          <w:szCs w:val="26"/>
        </w:rPr>
        <w:t xml:space="preserve"> </w:t>
      </w:r>
      <w:r w:rsidR="00997367" w:rsidRPr="00E366AE">
        <w:rPr>
          <w:sz w:val="28"/>
        </w:rPr>
        <w:t xml:space="preserve">L’intesa </w:t>
      </w:r>
      <w:r w:rsidR="0072256F" w:rsidRPr="00E366AE">
        <w:rPr>
          <w:sz w:val="28"/>
        </w:rPr>
        <w:t>prospetta</w:t>
      </w:r>
      <w:r w:rsidR="00997367" w:rsidRPr="00E366AE">
        <w:rPr>
          <w:sz w:val="28"/>
        </w:rPr>
        <w:t xml:space="preserve">ta appare consistente in quanto Argo e </w:t>
      </w:r>
      <w:proofErr w:type="spellStart"/>
      <w:r w:rsidR="00997367" w:rsidRPr="00E366AE">
        <w:rPr>
          <w:sz w:val="28"/>
        </w:rPr>
        <w:t>Axios</w:t>
      </w:r>
      <w:proofErr w:type="spellEnd"/>
      <w:r w:rsidR="00CA6F0B" w:rsidRPr="00E366AE">
        <w:rPr>
          <w:sz w:val="28"/>
        </w:rPr>
        <w:t xml:space="preserve"> </w:t>
      </w:r>
      <w:r w:rsidR="00997367" w:rsidRPr="00E366AE">
        <w:rPr>
          <w:sz w:val="28"/>
        </w:rPr>
        <w:t xml:space="preserve">sono i principali operatori privati per quanto concerne i </w:t>
      </w:r>
      <w:r w:rsidR="00997367" w:rsidRPr="00E366AE">
        <w:rPr>
          <w:i/>
          <w:sz w:val="28"/>
        </w:rPr>
        <w:t>software</w:t>
      </w:r>
      <w:r w:rsidR="0072256F" w:rsidRPr="00E366AE">
        <w:rPr>
          <w:sz w:val="28"/>
        </w:rPr>
        <w:t xml:space="preserve"> gestio</w:t>
      </w:r>
      <w:r w:rsidR="00550EEE" w:rsidRPr="00E366AE">
        <w:rPr>
          <w:sz w:val="28"/>
        </w:rPr>
        <w:t>nali. Essi detengon</w:t>
      </w:r>
      <w:r w:rsidR="0072256F" w:rsidRPr="00E366AE">
        <w:rPr>
          <w:sz w:val="28"/>
        </w:rPr>
        <w:t xml:space="preserve">o una quota di mercato congiunta stimabile nel 54% circa (33% circa Argo, 21% circa </w:t>
      </w:r>
      <w:proofErr w:type="spellStart"/>
      <w:r w:rsidR="0072256F" w:rsidRPr="00E366AE">
        <w:rPr>
          <w:sz w:val="28"/>
        </w:rPr>
        <w:t>Axios</w:t>
      </w:r>
      <w:proofErr w:type="spellEnd"/>
      <w:r w:rsidR="0072256F" w:rsidRPr="00E366AE">
        <w:rPr>
          <w:sz w:val="28"/>
        </w:rPr>
        <w:t>)</w:t>
      </w:r>
      <w:r w:rsidR="00550EEE" w:rsidRPr="00E366AE">
        <w:rPr>
          <w:sz w:val="28"/>
        </w:rPr>
        <w:t>,</w:t>
      </w:r>
      <w:r w:rsidR="0072256F" w:rsidRPr="00E366AE">
        <w:rPr>
          <w:sz w:val="28"/>
        </w:rPr>
        <w:t xml:space="preserve"> i</w:t>
      </w:r>
      <w:r w:rsidR="00CA6F0B" w:rsidRPr="00E366AE">
        <w:rPr>
          <w:sz w:val="28"/>
        </w:rPr>
        <w:t>n un contesto di mercato che vede il 36% circa degli istituti scolastici adottare</w:t>
      </w:r>
      <w:r w:rsidR="0072256F" w:rsidRPr="00E366AE">
        <w:rPr>
          <w:sz w:val="28"/>
        </w:rPr>
        <w:t xml:space="preserve"> </w:t>
      </w:r>
      <w:r w:rsidR="00CA6F0B" w:rsidRPr="00E366AE">
        <w:rPr>
          <w:i/>
          <w:sz w:val="28"/>
        </w:rPr>
        <w:t>software</w:t>
      </w:r>
      <w:r w:rsidR="0072256F" w:rsidRPr="00E366AE">
        <w:rPr>
          <w:sz w:val="28"/>
        </w:rPr>
        <w:t xml:space="preserve"> </w:t>
      </w:r>
      <w:r w:rsidR="00CA6F0B" w:rsidRPr="00E366AE">
        <w:rPr>
          <w:sz w:val="28"/>
        </w:rPr>
        <w:t>messi a disposizione gratuitamente da parte del Ministero</w:t>
      </w:r>
      <w:r w:rsidR="0072256F" w:rsidRPr="00E366AE">
        <w:rPr>
          <w:sz w:val="28"/>
        </w:rPr>
        <w:t xml:space="preserve"> (SISSI e SIDI)</w:t>
      </w:r>
      <w:r w:rsidR="00CA6F0B" w:rsidRPr="00E366AE">
        <w:rPr>
          <w:sz w:val="28"/>
        </w:rPr>
        <w:t xml:space="preserve">. Se si esclude tale </w:t>
      </w:r>
      <w:r w:rsidR="00CA6F0B" w:rsidRPr="00E366AE">
        <w:rPr>
          <w:sz w:val="28"/>
        </w:rPr>
        <w:lastRenderedPageBreak/>
        <w:t>sottoinsieme di scuole, le quote di mer</w:t>
      </w:r>
      <w:r w:rsidR="006849AB" w:rsidRPr="00E366AE">
        <w:rPr>
          <w:sz w:val="28"/>
        </w:rPr>
        <w:t xml:space="preserve">cato di Argo e </w:t>
      </w:r>
      <w:proofErr w:type="spellStart"/>
      <w:r w:rsidR="006849AB" w:rsidRPr="00E366AE">
        <w:rPr>
          <w:sz w:val="28"/>
        </w:rPr>
        <w:t>Axios</w:t>
      </w:r>
      <w:proofErr w:type="spellEnd"/>
      <w:r w:rsidR="006849AB" w:rsidRPr="00E366AE">
        <w:rPr>
          <w:sz w:val="28"/>
        </w:rPr>
        <w:t xml:space="preserve"> salgono, rispettivamente, al 52% e al 33%.</w:t>
      </w:r>
    </w:p>
    <w:p w:rsidR="00B7781E" w:rsidRPr="00E366AE" w:rsidRDefault="00B7781E" w:rsidP="001063FB">
      <w:pPr>
        <w:widowControl w:val="0"/>
        <w:spacing w:line="350" w:lineRule="atLeast"/>
        <w:rPr>
          <w:sz w:val="28"/>
        </w:rPr>
      </w:pPr>
      <w:r w:rsidRPr="00E366AE">
        <w:rPr>
          <w:b/>
          <w:bCs/>
          <w:sz w:val="28"/>
          <w:szCs w:val="26"/>
        </w:rPr>
        <w:fldChar w:fldCharType="begin"/>
      </w:r>
      <w:r w:rsidRPr="00E366AE">
        <w:rPr>
          <w:b/>
          <w:bCs/>
          <w:sz w:val="28"/>
          <w:szCs w:val="26"/>
        </w:rPr>
        <w:instrText xml:space="preserve"> AUTONUM </w:instrText>
      </w:r>
      <w:r w:rsidRPr="00E366AE">
        <w:rPr>
          <w:b/>
          <w:bCs/>
          <w:sz w:val="28"/>
          <w:szCs w:val="26"/>
        </w:rPr>
        <w:fldChar w:fldCharType="separate"/>
      </w:r>
      <w:r w:rsidRPr="00E366AE">
        <w:rPr>
          <w:b/>
          <w:bCs/>
          <w:sz w:val="28"/>
          <w:szCs w:val="26"/>
        </w:rPr>
        <w:t>3.</w:t>
      </w:r>
      <w:r w:rsidRPr="00E366AE">
        <w:rPr>
          <w:b/>
          <w:bCs/>
          <w:sz w:val="28"/>
          <w:szCs w:val="26"/>
        </w:rPr>
        <w:fldChar w:fldCharType="end"/>
      </w:r>
      <w:r w:rsidR="00E366AE">
        <w:rPr>
          <w:b/>
          <w:bCs/>
          <w:sz w:val="28"/>
          <w:szCs w:val="26"/>
        </w:rPr>
        <w:t xml:space="preserve"> </w:t>
      </w:r>
      <w:r w:rsidR="00714338" w:rsidRPr="00E366AE">
        <w:rPr>
          <w:sz w:val="28"/>
        </w:rPr>
        <w:t>L</w:t>
      </w:r>
      <w:r w:rsidRPr="00E366AE">
        <w:rPr>
          <w:sz w:val="28"/>
        </w:rPr>
        <w:t xml:space="preserve">’intesa </w:t>
      </w:r>
      <w:r w:rsidR="00714338" w:rsidRPr="00E366AE">
        <w:rPr>
          <w:sz w:val="28"/>
        </w:rPr>
        <w:t xml:space="preserve">sopra delineata </w:t>
      </w:r>
      <w:r w:rsidRPr="00E366AE">
        <w:rPr>
          <w:sz w:val="28"/>
        </w:rPr>
        <w:t xml:space="preserve">dispiega i suoi effetti su tutto il territorio nazionale posto che tale è la dimensione geografica dei mercati interessati e che Argo e </w:t>
      </w:r>
      <w:proofErr w:type="spellStart"/>
      <w:r w:rsidRPr="00E366AE">
        <w:rPr>
          <w:sz w:val="28"/>
        </w:rPr>
        <w:t>Axios</w:t>
      </w:r>
      <w:proofErr w:type="spellEnd"/>
      <w:r w:rsidRPr="00E366AE">
        <w:rPr>
          <w:sz w:val="28"/>
        </w:rPr>
        <w:t xml:space="preserve">, così come la segnalante Spaggiari, operano sull’intero territorio nazionale. Secondo i principi comunitari, </w:t>
      </w:r>
      <w:r w:rsidR="001063FB">
        <w:rPr>
          <w:sz w:val="28"/>
        </w:rPr>
        <w:t>le intese</w:t>
      </w:r>
      <w:r w:rsidRPr="00E366AE">
        <w:rPr>
          <w:sz w:val="28"/>
        </w:rPr>
        <w:t xml:space="preserve"> che riguardano</w:t>
      </w:r>
      <w:r w:rsidR="00714338" w:rsidRPr="00E366AE">
        <w:rPr>
          <w:sz w:val="28"/>
        </w:rPr>
        <w:t xml:space="preserve"> l’intero territorio di uno Stato membro sono idonei a produrre un pregiudizio al commercio tra Stati membri in considerazione dei possibili effetti di compartimentazione del mercato interno derivanti dalle misure che le imprese partecipanti al cartello adottano per ridurre o attenuare la pressione concorrenziale esercitata da</w:t>
      </w:r>
      <w:r w:rsidR="00B36AFE" w:rsidRPr="00E366AE">
        <w:rPr>
          <w:sz w:val="28"/>
        </w:rPr>
        <w:t>i concorrenti di altri Stati membri</w:t>
      </w:r>
      <w:r w:rsidR="00B36AFE" w:rsidRPr="00E366AE">
        <w:rPr>
          <w:rStyle w:val="Rimandonotaapidipagina"/>
          <w:sz w:val="28"/>
        </w:rPr>
        <w:footnoteReference w:id="7"/>
      </w:r>
      <w:r w:rsidR="00B36AFE" w:rsidRPr="00E366AE">
        <w:rPr>
          <w:sz w:val="28"/>
        </w:rPr>
        <w:t>.</w:t>
      </w:r>
      <w:r w:rsidR="00664F93" w:rsidRPr="00E366AE">
        <w:rPr>
          <w:sz w:val="28"/>
        </w:rPr>
        <w:t xml:space="preserve"> Di conseguenza, la fattispecie oggetto del presente procedimento potrà essere valutata ai sensi dell’articolo 2 della l. </w:t>
      </w:r>
      <w:r w:rsidR="00E366AE">
        <w:rPr>
          <w:sz w:val="28"/>
        </w:rPr>
        <w:t>n. 287</w:t>
      </w:r>
      <w:r w:rsidR="00664F93" w:rsidRPr="00E366AE">
        <w:rPr>
          <w:sz w:val="28"/>
        </w:rPr>
        <w:t>/1990 o dell’articolo 101 del TFUE.</w:t>
      </w:r>
    </w:p>
    <w:p w:rsidR="006B5E55" w:rsidRPr="00E366AE" w:rsidRDefault="006B5E55" w:rsidP="001063FB">
      <w:pPr>
        <w:widowControl w:val="0"/>
        <w:spacing w:line="350" w:lineRule="atLeast"/>
        <w:rPr>
          <w:sz w:val="28"/>
        </w:rPr>
      </w:pPr>
    </w:p>
    <w:p w:rsidR="001063FB" w:rsidRPr="00E366AE" w:rsidRDefault="001063FB" w:rsidP="001063FB">
      <w:pPr>
        <w:widowControl w:val="0"/>
        <w:spacing w:line="350" w:lineRule="atLeast"/>
        <w:rPr>
          <w:sz w:val="28"/>
        </w:rPr>
      </w:pPr>
      <w:r>
        <w:rPr>
          <w:sz w:val="28"/>
        </w:rPr>
        <w:t xml:space="preserve">RITENUTO, pertanto, con riferimento all’istanza del segnalante, che, </w:t>
      </w:r>
      <w:r w:rsidRPr="00E366AE">
        <w:rPr>
          <w:sz w:val="28"/>
        </w:rPr>
        <w:t>nel caso di specie</w:t>
      </w:r>
      <w:r>
        <w:rPr>
          <w:sz w:val="28"/>
        </w:rPr>
        <w:t>,</w:t>
      </w:r>
      <w:r w:rsidRPr="00E366AE">
        <w:rPr>
          <w:sz w:val="28"/>
        </w:rPr>
        <w:t xml:space="preserve"> non sussista</w:t>
      </w:r>
      <w:r>
        <w:rPr>
          <w:sz w:val="28"/>
        </w:rPr>
        <w:t xml:space="preserve">no </w:t>
      </w:r>
      <w:r w:rsidRPr="00E366AE">
        <w:rPr>
          <w:sz w:val="28"/>
        </w:rPr>
        <w:t>i presuppost</w:t>
      </w:r>
      <w:r>
        <w:rPr>
          <w:sz w:val="28"/>
        </w:rPr>
        <w:t>i</w:t>
      </w:r>
      <w:r w:rsidRPr="00E366AE">
        <w:rPr>
          <w:sz w:val="28"/>
        </w:rPr>
        <w:t xml:space="preserve"> di fatto e di diritto che giustifichi</w:t>
      </w:r>
      <w:r>
        <w:rPr>
          <w:sz w:val="28"/>
        </w:rPr>
        <w:t>no</w:t>
      </w:r>
      <w:r w:rsidRPr="00E366AE">
        <w:rPr>
          <w:sz w:val="28"/>
        </w:rPr>
        <w:t xml:space="preserve"> l’a</w:t>
      </w:r>
      <w:r>
        <w:rPr>
          <w:sz w:val="28"/>
        </w:rPr>
        <w:t>do</w:t>
      </w:r>
      <w:r w:rsidRPr="00E366AE">
        <w:rPr>
          <w:sz w:val="28"/>
        </w:rPr>
        <w:t>zione di misure cautelari ai sensi dell’articolo 14-</w:t>
      </w:r>
      <w:r w:rsidRPr="00E366AE">
        <w:rPr>
          <w:i/>
          <w:sz w:val="28"/>
        </w:rPr>
        <w:t>bis</w:t>
      </w:r>
      <w:r w:rsidRPr="00E366AE">
        <w:rPr>
          <w:sz w:val="28"/>
        </w:rPr>
        <w:t xml:space="preserve"> della legge </w:t>
      </w:r>
      <w:r>
        <w:rPr>
          <w:sz w:val="28"/>
        </w:rPr>
        <w:t>n. 287/90</w:t>
      </w:r>
      <w:r w:rsidRPr="00E366AE">
        <w:rPr>
          <w:sz w:val="28"/>
        </w:rPr>
        <w:t>;</w:t>
      </w:r>
    </w:p>
    <w:p w:rsidR="001063FB" w:rsidRPr="00E366AE" w:rsidRDefault="001063FB" w:rsidP="001063FB">
      <w:pPr>
        <w:widowControl w:val="0"/>
        <w:spacing w:line="350" w:lineRule="atLeast"/>
        <w:rPr>
          <w:sz w:val="28"/>
        </w:rPr>
      </w:pPr>
    </w:p>
    <w:p w:rsidR="006B5E55" w:rsidRPr="00E366AE" w:rsidRDefault="006B5E55" w:rsidP="001063FB">
      <w:pPr>
        <w:widowControl w:val="0"/>
        <w:spacing w:line="350" w:lineRule="atLeast"/>
        <w:rPr>
          <w:sz w:val="28"/>
        </w:rPr>
      </w:pPr>
      <w:r w:rsidRPr="00E366AE">
        <w:rPr>
          <w:sz w:val="28"/>
        </w:rPr>
        <w:t xml:space="preserve">RITENUTO, </w:t>
      </w:r>
      <w:r w:rsidR="001063FB">
        <w:rPr>
          <w:sz w:val="28"/>
        </w:rPr>
        <w:t>altresì</w:t>
      </w:r>
      <w:r w:rsidRPr="00E366AE">
        <w:rPr>
          <w:sz w:val="28"/>
        </w:rPr>
        <w:t xml:space="preserve">, che i comportamenti adottati dalle società </w:t>
      </w:r>
      <w:r w:rsidR="00F74797" w:rsidRPr="00E366AE">
        <w:rPr>
          <w:sz w:val="28"/>
        </w:rPr>
        <w:t>Argo Software S.r.l. e</w:t>
      </w:r>
      <w:r w:rsidR="00DF3C3B" w:rsidRPr="00E366AE">
        <w:rPr>
          <w:sz w:val="28"/>
        </w:rPr>
        <w:t xml:space="preserve"> </w:t>
      </w:r>
      <w:proofErr w:type="spellStart"/>
      <w:r w:rsidR="00DF3C3B" w:rsidRPr="00E366AE">
        <w:rPr>
          <w:sz w:val="28"/>
        </w:rPr>
        <w:t>Axios</w:t>
      </w:r>
      <w:proofErr w:type="spellEnd"/>
      <w:r w:rsidR="00DF3C3B" w:rsidRPr="00E366AE">
        <w:rPr>
          <w:sz w:val="28"/>
        </w:rPr>
        <w:t xml:space="preserve"> Italia Service S.r.l., sopra descritti,</w:t>
      </w:r>
      <w:r w:rsidR="00F74797" w:rsidRPr="00E366AE">
        <w:rPr>
          <w:sz w:val="28"/>
        </w:rPr>
        <w:t xml:space="preserve"> sono suscettibili di configurare un’</w:t>
      </w:r>
      <w:r w:rsidR="00DF3C3B" w:rsidRPr="00E366AE">
        <w:rPr>
          <w:sz w:val="28"/>
        </w:rPr>
        <w:t>intesa restrittiva della</w:t>
      </w:r>
      <w:r w:rsidR="00F74797" w:rsidRPr="00E366AE">
        <w:rPr>
          <w:sz w:val="28"/>
        </w:rPr>
        <w:t xml:space="preserve"> concorrenza</w:t>
      </w:r>
      <w:r w:rsidR="00550EEE" w:rsidRPr="00E366AE">
        <w:rPr>
          <w:sz w:val="28"/>
        </w:rPr>
        <w:t xml:space="preserve"> </w:t>
      </w:r>
      <w:r w:rsidR="00DF3C3B" w:rsidRPr="00E366AE">
        <w:rPr>
          <w:sz w:val="28"/>
        </w:rPr>
        <w:t>nei mercati</w:t>
      </w:r>
      <w:r w:rsidR="0072256F" w:rsidRPr="00E366AE">
        <w:rPr>
          <w:sz w:val="28"/>
        </w:rPr>
        <w:t xml:space="preserve"> nazionali </w:t>
      </w:r>
      <w:r w:rsidR="00DF3C3B" w:rsidRPr="00E366AE">
        <w:rPr>
          <w:sz w:val="28"/>
        </w:rPr>
        <w:t xml:space="preserve">dei </w:t>
      </w:r>
      <w:r w:rsidR="00DF3C3B" w:rsidRPr="00E366AE">
        <w:rPr>
          <w:i/>
          <w:sz w:val="28"/>
        </w:rPr>
        <w:t>software</w:t>
      </w:r>
      <w:r w:rsidR="00DF3C3B" w:rsidRPr="00E366AE">
        <w:rPr>
          <w:sz w:val="28"/>
        </w:rPr>
        <w:t xml:space="preserve"> gestionali e </w:t>
      </w:r>
      <w:r w:rsidR="009F6760" w:rsidRPr="00E366AE">
        <w:rPr>
          <w:sz w:val="28"/>
        </w:rPr>
        <w:t>d</w:t>
      </w:r>
      <w:r w:rsidR="00C016A4" w:rsidRPr="00E366AE">
        <w:rPr>
          <w:sz w:val="28"/>
        </w:rPr>
        <w:t>egli applicativi innovativi per le scuole</w:t>
      </w:r>
      <w:r w:rsidR="00550EEE" w:rsidRPr="00E366AE">
        <w:rPr>
          <w:sz w:val="28"/>
        </w:rPr>
        <w:t xml:space="preserve"> almeno a partire dall’anno scolastico 2012-2013</w:t>
      </w:r>
      <w:r w:rsidR="0072256F" w:rsidRPr="00E366AE">
        <w:rPr>
          <w:sz w:val="28"/>
        </w:rPr>
        <w:t>,</w:t>
      </w:r>
      <w:r w:rsidR="001955A2" w:rsidRPr="00E366AE">
        <w:rPr>
          <w:sz w:val="28"/>
        </w:rPr>
        <w:t xml:space="preserve"> </w:t>
      </w:r>
      <w:r w:rsidR="00DF3C3B" w:rsidRPr="00E366AE">
        <w:rPr>
          <w:sz w:val="28"/>
        </w:rPr>
        <w:t xml:space="preserve">in violazione dell’articolo </w:t>
      </w:r>
      <w:r w:rsidR="0040620B" w:rsidRPr="00E366AE">
        <w:rPr>
          <w:sz w:val="28"/>
        </w:rPr>
        <w:t xml:space="preserve">2 </w:t>
      </w:r>
      <w:r w:rsidR="00DF3C3B" w:rsidRPr="00E366AE">
        <w:rPr>
          <w:sz w:val="28"/>
        </w:rPr>
        <w:t>del</w:t>
      </w:r>
      <w:r w:rsidR="0040620B" w:rsidRPr="00E366AE">
        <w:rPr>
          <w:sz w:val="28"/>
        </w:rPr>
        <w:t xml:space="preserve">la legge </w:t>
      </w:r>
      <w:r w:rsidR="00E366AE">
        <w:rPr>
          <w:sz w:val="28"/>
        </w:rPr>
        <w:t>n. 287/90</w:t>
      </w:r>
      <w:r w:rsidR="00F0526A" w:rsidRPr="00E366AE">
        <w:rPr>
          <w:sz w:val="28"/>
        </w:rPr>
        <w:t xml:space="preserve"> o dell’articolo 101 del TFUE</w:t>
      </w:r>
      <w:r w:rsidR="00DF3C3B" w:rsidRPr="00E366AE">
        <w:rPr>
          <w:sz w:val="28"/>
        </w:rPr>
        <w:t>;</w:t>
      </w:r>
    </w:p>
    <w:p w:rsidR="001063FB" w:rsidRDefault="001063FB" w:rsidP="001063FB">
      <w:pPr>
        <w:spacing w:line="350" w:lineRule="atLeast"/>
        <w:jc w:val="left"/>
        <w:rPr>
          <w:sz w:val="28"/>
        </w:rPr>
      </w:pPr>
    </w:p>
    <w:p w:rsidR="001063FB" w:rsidRDefault="001063FB" w:rsidP="001063FB">
      <w:pPr>
        <w:spacing w:line="350" w:lineRule="atLeast"/>
        <w:jc w:val="left"/>
        <w:rPr>
          <w:sz w:val="28"/>
        </w:rPr>
      </w:pPr>
    </w:p>
    <w:p w:rsidR="00DF3C3B" w:rsidRPr="00E366AE" w:rsidRDefault="00DF3C3B" w:rsidP="001063FB">
      <w:pPr>
        <w:widowControl w:val="0"/>
        <w:spacing w:line="350" w:lineRule="atLeast"/>
        <w:jc w:val="center"/>
        <w:rPr>
          <w:sz w:val="28"/>
        </w:rPr>
      </w:pPr>
      <w:r w:rsidRPr="00E366AE">
        <w:rPr>
          <w:sz w:val="28"/>
        </w:rPr>
        <w:t>DELIBERA</w:t>
      </w:r>
    </w:p>
    <w:p w:rsidR="00DF3C3B" w:rsidRPr="00E366AE" w:rsidRDefault="00DF3C3B" w:rsidP="001063FB">
      <w:pPr>
        <w:widowControl w:val="0"/>
        <w:spacing w:line="350" w:lineRule="atLeast"/>
        <w:rPr>
          <w:sz w:val="28"/>
        </w:rPr>
      </w:pPr>
    </w:p>
    <w:p w:rsidR="00DF3C3B" w:rsidRPr="00E366AE" w:rsidRDefault="00DF3C3B" w:rsidP="001063FB">
      <w:pPr>
        <w:widowControl w:val="0"/>
        <w:spacing w:line="350" w:lineRule="atLeast"/>
        <w:rPr>
          <w:sz w:val="28"/>
        </w:rPr>
      </w:pPr>
    </w:p>
    <w:p w:rsidR="00DF3C3B" w:rsidRPr="00E366AE" w:rsidRDefault="00DF3C3B" w:rsidP="001063FB">
      <w:pPr>
        <w:widowControl w:val="0"/>
        <w:spacing w:line="350" w:lineRule="atLeast"/>
        <w:rPr>
          <w:sz w:val="28"/>
        </w:rPr>
      </w:pPr>
      <w:r w:rsidRPr="00E366AE">
        <w:rPr>
          <w:sz w:val="28"/>
        </w:rPr>
        <w:t xml:space="preserve">a) l’avvio dell’istruttoria ai sensi dell’articolo 14, della legge </w:t>
      </w:r>
      <w:r w:rsidR="00E366AE">
        <w:rPr>
          <w:sz w:val="28"/>
        </w:rPr>
        <w:t>n. 287/90</w:t>
      </w:r>
      <w:r w:rsidRPr="00E366AE">
        <w:rPr>
          <w:sz w:val="28"/>
        </w:rPr>
        <w:t xml:space="preserve">, nei confronti delle società Argo Software S.r.l. e </w:t>
      </w:r>
      <w:proofErr w:type="spellStart"/>
      <w:r w:rsidRPr="00E366AE">
        <w:rPr>
          <w:sz w:val="28"/>
        </w:rPr>
        <w:t>Axios</w:t>
      </w:r>
      <w:proofErr w:type="spellEnd"/>
      <w:r w:rsidRPr="00E366AE">
        <w:rPr>
          <w:sz w:val="28"/>
        </w:rPr>
        <w:t xml:space="preserve"> Italia Service S.r.l., per accertare l’esistenza di violazioni dell’articolo </w:t>
      </w:r>
      <w:r w:rsidR="0040620B" w:rsidRPr="00E366AE">
        <w:rPr>
          <w:sz w:val="28"/>
        </w:rPr>
        <w:t xml:space="preserve">2 </w:t>
      </w:r>
      <w:r w:rsidRPr="00E366AE">
        <w:rPr>
          <w:sz w:val="28"/>
        </w:rPr>
        <w:t>del</w:t>
      </w:r>
      <w:r w:rsidR="0040620B" w:rsidRPr="00E366AE">
        <w:rPr>
          <w:sz w:val="28"/>
        </w:rPr>
        <w:t xml:space="preserve">la legge </w:t>
      </w:r>
      <w:r w:rsidR="00E366AE">
        <w:rPr>
          <w:sz w:val="28"/>
        </w:rPr>
        <w:t>n. 287/90</w:t>
      </w:r>
      <w:r w:rsidR="00F0526A" w:rsidRPr="00E366AE">
        <w:rPr>
          <w:sz w:val="28"/>
        </w:rPr>
        <w:t xml:space="preserve"> o dell’articolo 101 del TFUE</w:t>
      </w:r>
      <w:r w:rsidRPr="00E366AE">
        <w:rPr>
          <w:sz w:val="28"/>
        </w:rPr>
        <w:t>;</w:t>
      </w:r>
    </w:p>
    <w:p w:rsidR="001063FB" w:rsidRDefault="001063FB">
      <w:pPr>
        <w:jc w:val="left"/>
        <w:rPr>
          <w:sz w:val="28"/>
        </w:rPr>
      </w:pPr>
      <w:r>
        <w:rPr>
          <w:sz w:val="28"/>
        </w:rPr>
        <w:br w:type="page"/>
      </w:r>
    </w:p>
    <w:p w:rsidR="00DF3C3B" w:rsidRPr="00E366AE" w:rsidRDefault="00DF3C3B" w:rsidP="001063FB">
      <w:pPr>
        <w:widowControl w:val="0"/>
        <w:spacing w:line="350" w:lineRule="atLeast"/>
        <w:rPr>
          <w:sz w:val="28"/>
        </w:rPr>
      </w:pPr>
      <w:r w:rsidRPr="00E366AE">
        <w:rPr>
          <w:sz w:val="28"/>
        </w:rPr>
        <w:lastRenderedPageBreak/>
        <w:t>b) la fissazione del termine di giorni sessanta decorrente dalla notificazione del presente provvedimento per l’esercizio da parte dei legali rappresentanti delle parti, o di persone da essi delegate, del diritto di essere sentiti, precisando che la richiesta di audizione dovrà pervenire alla Direzione Comunicazioni della Direzione Generale</w:t>
      </w:r>
      <w:r w:rsidR="00E366AE">
        <w:rPr>
          <w:sz w:val="28"/>
        </w:rPr>
        <w:t xml:space="preserve"> </w:t>
      </w:r>
      <w:r w:rsidRPr="00E366AE">
        <w:rPr>
          <w:sz w:val="28"/>
        </w:rPr>
        <w:t>per la Concorrenza di questa Autorità almeno quindici giorni prima della scadenza del termine sopra indicato;</w:t>
      </w:r>
    </w:p>
    <w:p w:rsidR="00DF3C3B" w:rsidRPr="00E366AE" w:rsidRDefault="00DF3C3B" w:rsidP="001063FB">
      <w:pPr>
        <w:widowControl w:val="0"/>
        <w:spacing w:line="350" w:lineRule="atLeast"/>
        <w:rPr>
          <w:sz w:val="28"/>
        </w:rPr>
      </w:pPr>
    </w:p>
    <w:p w:rsidR="00DF3C3B" w:rsidRPr="00E366AE" w:rsidRDefault="00DF3C3B" w:rsidP="001063FB">
      <w:pPr>
        <w:widowControl w:val="0"/>
        <w:spacing w:line="350" w:lineRule="atLeast"/>
        <w:rPr>
          <w:sz w:val="28"/>
        </w:rPr>
      </w:pPr>
      <w:r w:rsidRPr="00E366AE">
        <w:rPr>
          <w:sz w:val="28"/>
        </w:rPr>
        <w:t xml:space="preserve">c) che il responsabile del procedimento è </w:t>
      </w:r>
      <w:r w:rsidR="00674723" w:rsidRPr="00E366AE">
        <w:rPr>
          <w:sz w:val="28"/>
        </w:rPr>
        <w:t>la dott.ssa Livia Calabrese</w:t>
      </w:r>
      <w:r w:rsidRPr="00E366AE">
        <w:rPr>
          <w:sz w:val="28"/>
        </w:rPr>
        <w:t>;</w:t>
      </w:r>
    </w:p>
    <w:p w:rsidR="00DF3C3B" w:rsidRPr="00E366AE" w:rsidRDefault="00DF3C3B" w:rsidP="001063FB">
      <w:pPr>
        <w:widowControl w:val="0"/>
        <w:spacing w:line="350" w:lineRule="atLeast"/>
        <w:rPr>
          <w:sz w:val="28"/>
        </w:rPr>
      </w:pPr>
    </w:p>
    <w:p w:rsidR="00DF3C3B" w:rsidRPr="00E366AE" w:rsidRDefault="00DF3C3B" w:rsidP="001063FB">
      <w:pPr>
        <w:widowControl w:val="0"/>
        <w:spacing w:line="350" w:lineRule="atLeast"/>
        <w:rPr>
          <w:sz w:val="28"/>
        </w:rPr>
      </w:pPr>
      <w:r w:rsidRPr="00E366AE">
        <w:rPr>
          <w:sz w:val="28"/>
        </w:rPr>
        <w:t>d) che gli atti del procedimento possono essere presi in visione presso la Direzione Comunicazioni della Direzione Generale</w:t>
      </w:r>
      <w:r w:rsidR="00E366AE">
        <w:rPr>
          <w:sz w:val="28"/>
        </w:rPr>
        <w:t xml:space="preserve"> </w:t>
      </w:r>
      <w:r w:rsidRPr="00E366AE">
        <w:rPr>
          <w:sz w:val="28"/>
        </w:rPr>
        <w:t>per la Concorrenza di questa Autorità dai rappresentanti legali delle parti, nonché da persone da essi delegate;</w:t>
      </w:r>
    </w:p>
    <w:p w:rsidR="00DF3C3B" w:rsidRPr="00E366AE" w:rsidRDefault="00DF3C3B" w:rsidP="001063FB">
      <w:pPr>
        <w:widowControl w:val="0"/>
        <w:spacing w:line="350" w:lineRule="atLeast"/>
        <w:rPr>
          <w:sz w:val="28"/>
        </w:rPr>
      </w:pPr>
    </w:p>
    <w:p w:rsidR="00AC0C97" w:rsidRPr="00E366AE" w:rsidRDefault="00DF3C3B" w:rsidP="001063FB">
      <w:pPr>
        <w:widowControl w:val="0"/>
        <w:spacing w:line="350" w:lineRule="atLeast"/>
        <w:rPr>
          <w:sz w:val="28"/>
        </w:rPr>
      </w:pPr>
      <w:r w:rsidRPr="00E366AE">
        <w:rPr>
          <w:sz w:val="28"/>
        </w:rPr>
        <w:t xml:space="preserve">e) che il procedimento deve concludersi entro il </w:t>
      </w:r>
      <w:r w:rsidR="00674723" w:rsidRPr="00E366AE">
        <w:rPr>
          <w:sz w:val="28"/>
        </w:rPr>
        <w:t>30 aprile 2015</w:t>
      </w:r>
      <w:r w:rsidR="00AC0C97" w:rsidRPr="00E366AE">
        <w:rPr>
          <w:sz w:val="28"/>
        </w:rPr>
        <w:t>;</w:t>
      </w:r>
    </w:p>
    <w:p w:rsidR="00AC0C97" w:rsidRPr="00E366AE" w:rsidRDefault="00AC0C97" w:rsidP="001063FB">
      <w:pPr>
        <w:widowControl w:val="0"/>
        <w:spacing w:line="350" w:lineRule="atLeast"/>
        <w:rPr>
          <w:sz w:val="28"/>
        </w:rPr>
      </w:pPr>
    </w:p>
    <w:p w:rsidR="00DF3C3B" w:rsidRDefault="00AC0C97" w:rsidP="001063FB">
      <w:pPr>
        <w:widowControl w:val="0"/>
        <w:spacing w:line="350" w:lineRule="atLeast"/>
        <w:rPr>
          <w:sz w:val="28"/>
        </w:rPr>
      </w:pPr>
      <w:r w:rsidRPr="00E366AE">
        <w:rPr>
          <w:sz w:val="28"/>
        </w:rPr>
        <w:t>f) il rigetto d</w:t>
      </w:r>
      <w:r w:rsidR="00F0526A" w:rsidRPr="00E366AE">
        <w:rPr>
          <w:sz w:val="28"/>
        </w:rPr>
        <w:t xml:space="preserve">ell’istanza di Casa Editrice Roberto Spaggiari </w:t>
      </w:r>
      <w:r w:rsidR="00E366AE">
        <w:rPr>
          <w:sz w:val="28"/>
        </w:rPr>
        <w:t>S.p.A.</w:t>
      </w:r>
      <w:r w:rsidR="00F0526A" w:rsidRPr="00E366AE">
        <w:rPr>
          <w:sz w:val="28"/>
        </w:rPr>
        <w:t xml:space="preserve"> di </w:t>
      </w:r>
      <w:r w:rsidR="001063FB">
        <w:rPr>
          <w:sz w:val="28"/>
        </w:rPr>
        <w:t>adozione</w:t>
      </w:r>
      <w:r w:rsidR="001063FB" w:rsidRPr="00E366AE">
        <w:rPr>
          <w:sz w:val="28"/>
        </w:rPr>
        <w:t xml:space="preserve"> </w:t>
      </w:r>
      <w:r w:rsidR="00F0526A" w:rsidRPr="00E366AE">
        <w:rPr>
          <w:sz w:val="28"/>
        </w:rPr>
        <w:t>di misure cautelari ai sensi dell’articolo 14-</w:t>
      </w:r>
      <w:r w:rsidR="00F0526A" w:rsidRPr="00E366AE">
        <w:rPr>
          <w:i/>
          <w:sz w:val="28"/>
        </w:rPr>
        <w:t>bis</w:t>
      </w:r>
      <w:r w:rsidR="00F0526A" w:rsidRPr="00E366AE">
        <w:rPr>
          <w:sz w:val="28"/>
        </w:rPr>
        <w:t xml:space="preserve"> della legge 10 ottobre 1990 </w:t>
      </w:r>
      <w:r w:rsidR="00E366AE">
        <w:rPr>
          <w:sz w:val="28"/>
        </w:rPr>
        <w:t>n. 287</w:t>
      </w:r>
      <w:r w:rsidR="00F0526A" w:rsidRPr="00E366AE">
        <w:rPr>
          <w:sz w:val="28"/>
        </w:rPr>
        <w:t>.</w:t>
      </w:r>
    </w:p>
    <w:p w:rsidR="001063FB" w:rsidRDefault="001063FB" w:rsidP="001063FB">
      <w:pPr>
        <w:widowControl w:val="0"/>
        <w:spacing w:line="350" w:lineRule="atLeast"/>
        <w:rPr>
          <w:sz w:val="28"/>
        </w:rPr>
      </w:pPr>
    </w:p>
    <w:p w:rsidR="001063FB" w:rsidRPr="00E366AE" w:rsidRDefault="001063FB" w:rsidP="001063FB">
      <w:pPr>
        <w:widowControl w:val="0"/>
        <w:spacing w:line="350" w:lineRule="atLeast"/>
        <w:rPr>
          <w:sz w:val="28"/>
        </w:rPr>
      </w:pPr>
    </w:p>
    <w:p w:rsidR="00DF3C3B" w:rsidRPr="00E366AE" w:rsidRDefault="00DF3C3B" w:rsidP="001063FB">
      <w:pPr>
        <w:spacing w:line="350" w:lineRule="atLeast"/>
        <w:jc w:val="left"/>
        <w:rPr>
          <w:sz w:val="28"/>
        </w:rPr>
      </w:pPr>
      <w:r w:rsidRPr="00E366AE">
        <w:rPr>
          <w:sz w:val="28"/>
        </w:rPr>
        <w:t>Il presente provvedimento verrà notificato ai soggetti interessati e pubblicato nel Bollettino dell’Autorità Garante della Concorrenza e del Mercato.</w:t>
      </w:r>
    </w:p>
    <w:p w:rsidR="00DF3C3B" w:rsidRPr="00E366AE" w:rsidRDefault="00DF3C3B" w:rsidP="001063FB">
      <w:pPr>
        <w:widowControl w:val="0"/>
        <w:spacing w:line="350" w:lineRule="atLeast"/>
        <w:rPr>
          <w:sz w:val="28"/>
        </w:rPr>
      </w:pPr>
    </w:p>
    <w:p w:rsidR="006B5E55" w:rsidRDefault="006B5E55" w:rsidP="001063FB">
      <w:pPr>
        <w:widowControl w:val="0"/>
        <w:spacing w:line="350" w:lineRule="atLeast"/>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620"/>
        <w:gridCol w:w="560"/>
        <w:gridCol w:w="3500"/>
      </w:tblGrid>
      <w:tr w:rsidR="00E366AE" w:rsidRPr="00E366AE" w:rsidTr="00515E26">
        <w:tc>
          <w:tcPr>
            <w:tcW w:w="4620" w:type="dxa"/>
            <w:tcBorders>
              <w:top w:val="nil"/>
              <w:left w:val="nil"/>
              <w:bottom w:val="nil"/>
              <w:right w:val="nil"/>
            </w:tcBorders>
          </w:tcPr>
          <w:p w:rsidR="00E366AE" w:rsidRPr="00E366AE" w:rsidRDefault="00E366AE" w:rsidP="001063FB">
            <w:pPr>
              <w:widowControl w:val="0"/>
              <w:spacing w:line="350" w:lineRule="atLeast"/>
              <w:jc w:val="center"/>
              <w:rPr>
                <w:sz w:val="28"/>
                <w:szCs w:val="28"/>
              </w:rPr>
            </w:pPr>
            <w:r w:rsidRPr="00E366AE">
              <w:rPr>
                <w:sz w:val="28"/>
                <w:szCs w:val="28"/>
              </w:rPr>
              <w:t>IL SEGRETARIO GENERALE</w:t>
            </w:r>
            <w:r w:rsidRPr="00E366AE">
              <w:rPr>
                <w:sz w:val="28"/>
                <w:szCs w:val="28"/>
              </w:rPr>
              <w:br/>
            </w:r>
            <w:r w:rsidRPr="00E366AE">
              <w:rPr>
                <w:i/>
                <w:sz w:val="28"/>
                <w:szCs w:val="28"/>
              </w:rPr>
              <w:t>Roberto Chieppa</w:t>
            </w:r>
          </w:p>
        </w:tc>
        <w:tc>
          <w:tcPr>
            <w:tcW w:w="560" w:type="dxa"/>
            <w:tcBorders>
              <w:top w:val="nil"/>
              <w:left w:val="nil"/>
              <w:bottom w:val="nil"/>
              <w:right w:val="nil"/>
            </w:tcBorders>
          </w:tcPr>
          <w:p w:rsidR="00E366AE" w:rsidRPr="00E366AE" w:rsidRDefault="00E366AE" w:rsidP="001063FB">
            <w:pPr>
              <w:widowControl w:val="0"/>
              <w:spacing w:line="350" w:lineRule="atLeast"/>
              <w:rPr>
                <w:sz w:val="28"/>
                <w:szCs w:val="28"/>
              </w:rPr>
            </w:pPr>
          </w:p>
        </w:tc>
        <w:tc>
          <w:tcPr>
            <w:tcW w:w="3500" w:type="dxa"/>
            <w:tcBorders>
              <w:top w:val="nil"/>
              <w:left w:val="nil"/>
              <w:bottom w:val="nil"/>
              <w:right w:val="nil"/>
            </w:tcBorders>
          </w:tcPr>
          <w:p w:rsidR="00E366AE" w:rsidRPr="00E366AE" w:rsidRDefault="00E366AE" w:rsidP="001063FB">
            <w:pPr>
              <w:widowControl w:val="0"/>
              <w:spacing w:line="350" w:lineRule="atLeast"/>
              <w:jc w:val="center"/>
              <w:rPr>
                <w:sz w:val="28"/>
                <w:szCs w:val="28"/>
              </w:rPr>
            </w:pPr>
            <w:r w:rsidRPr="00E366AE">
              <w:rPr>
                <w:sz w:val="28"/>
                <w:szCs w:val="28"/>
              </w:rPr>
              <w:t>IL PRESIDENTE</w:t>
            </w:r>
            <w:r w:rsidRPr="00E366AE">
              <w:rPr>
                <w:sz w:val="28"/>
                <w:szCs w:val="28"/>
              </w:rPr>
              <w:br/>
            </w:r>
            <w:r w:rsidRPr="00E366AE">
              <w:rPr>
                <w:i/>
                <w:sz w:val="28"/>
                <w:szCs w:val="28"/>
              </w:rPr>
              <w:t>Giovanni Pitruzzella</w:t>
            </w:r>
          </w:p>
        </w:tc>
      </w:tr>
    </w:tbl>
    <w:p w:rsidR="00E366AE" w:rsidRPr="00E366AE" w:rsidRDefault="00E366AE" w:rsidP="001063FB">
      <w:pPr>
        <w:widowControl w:val="0"/>
        <w:spacing w:line="350" w:lineRule="atLeast"/>
        <w:rPr>
          <w:sz w:val="28"/>
        </w:rPr>
      </w:pPr>
    </w:p>
    <w:sectPr w:rsidR="00E366AE" w:rsidRPr="00E366AE" w:rsidSect="00E366AE">
      <w:footerReference w:type="even" r:id="rId8"/>
      <w:footerReference w:type="default" r:id="rId9"/>
      <w:pgSz w:w="11906" w:h="16838"/>
      <w:pgMar w:top="1417" w:right="153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B1" w:rsidRDefault="00CD6DB1">
      <w:r>
        <w:separator/>
      </w:r>
    </w:p>
  </w:endnote>
  <w:endnote w:type="continuationSeparator" w:id="0">
    <w:p w:rsidR="00CD6DB1" w:rsidRDefault="00CD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AE" w:rsidRDefault="00E366AE" w:rsidP="0050041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366AE" w:rsidRDefault="00E366AE" w:rsidP="00E366A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AE" w:rsidRDefault="00E366AE" w:rsidP="0050041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25F99">
      <w:rPr>
        <w:rStyle w:val="Numeropagina"/>
        <w:noProof/>
      </w:rPr>
      <w:t>9</w:t>
    </w:r>
    <w:r>
      <w:rPr>
        <w:rStyle w:val="Numeropagina"/>
      </w:rPr>
      <w:fldChar w:fldCharType="end"/>
    </w:r>
  </w:p>
  <w:p w:rsidR="00E366AE" w:rsidRDefault="00E366AE" w:rsidP="00E366A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B1" w:rsidRDefault="00CD6DB1">
      <w:r>
        <w:separator/>
      </w:r>
    </w:p>
  </w:footnote>
  <w:footnote w:type="continuationSeparator" w:id="0">
    <w:p w:rsidR="00CD6DB1" w:rsidRDefault="00CD6DB1">
      <w:r>
        <w:continuationSeparator/>
      </w:r>
    </w:p>
  </w:footnote>
  <w:footnote w:id="1">
    <w:p w:rsidR="00E76C3D" w:rsidRDefault="00E76C3D" w:rsidP="00E366AE">
      <w:pPr>
        <w:pStyle w:val="Testonotaapidipagina"/>
      </w:pPr>
      <w:r>
        <w:rPr>
          <w:rStyle w:val="Rimandonotaapidipagina"/>
        </w:rPr>
        <w:footnoteRef/>
      </w:r>
      <w:r>
        <w:t xml:space="preserve"> </w:t>
      </w:r>
      <w:r w:rsidRPr="00E366AE">
        <w:t xml:space="preserve">Il primo è un programma di tipo </w:t>
      </w:r>
      <w:r w:rsidRPr="001063FB">
        <w:rPr>
          <w:i/>
        </w:rPr>
        <w:t>client server</w:t>
      </w:r>
      <w:r w:rsidRPr="00E366AE">
        <w:t xml:space="preserve">, il secondo è un programma di tipo </w:t>
      </w:r>
      <w:proofErr w:type="spellStart"/>
      <w:r w:rsidRPr="001063FB">
        <w:rPr>
          <w:i/>
        </w:rPr>
        <w:t>cloud</w:t>
      </w:r>
      <w:proofErr w:type="spellEnd"/>
      <w:r w:rsidRPr="00E366AE">
        <w:t>.</w:t>
      </w:r>
    </w:p>
  </w:footnote>
  <w:footnote w:id="2">
    <w:p w:rsidR="004319B0" w:rsidRPr="00E366AE" w:rsidRDefault="004319B0" w:rsidP="00E366AE">
      <w:pPr>
        <w:pStyle w:val="Testonotaapidipagina"/>
      </w:pPr>
      <w:r>
        <w:rPr>
          <w:rStyle w:val="Rimandonotaapidipagina"/>
        </w:rPr>
        <w:footnoteRef/>
      </w:r>
      <w:r>
        <w:t xml:space="preserve"> </w:t>
      </w:r>
      <w:r w:rsidRPr="00E366AE">
        <w:t>Nelle condizioni di contratto di Argo si legge: “[l]</w:t>
      </w:r>
      <w:r w:rsidRPr="001063FB">
        <w:rPr>
          <w:i/>
        </w:rPr>
        <w:t xml:space="preserve">’utente si impegna a proteggere l’integrità dei dati dei programmi di Argo Software </w:t>
      </w:r>
      <w:proofErr w:type="spellStart"/>
      <w:r w:rsidRPr="001063FB">
        <w:rPr>
          <w:i/>
        </w:rPr>
        <w:t>srl</w:t>
      </w:r>
      <w:proofErr w:type="spellEnd"/>
      <w:r w:rsidRPr="001063FB">
        <w:rPr>
          <w:i/>
        </w:rPr>
        <w:t xml:space="preserve"> di cui ha licenza, non consentendo</w:t>
      </w:r>
      <w:r w:rsidR="00C00BB0" w:rsidRPr="001063FB">
        <w:rPr>
          <w:i/>
        </w:rPr>
        <w:t xml:space="preserve"> </w:t>
      </w:r>
      <w:r w:rsidRPr="001063FB">
        <w:rPr>
          <w:i/>
        </w:rPr>
        <w:t xml:space="preserve">l’utilizzo dei relativi database da parte di programmi di aziende diverse da Argo Software </w:t>
      </w:r>
      <w:proofErr w:type="spellStart"/>
      <w:r w:rsidRPr="001063FB">
        <w:rPr>
          <w:i/>
        </w:rPr>
        <w:t>srl</w:t>
      </w:r>
      <w:proofErr w:type="spellEnd"/>
      <w:r w:rsidRPr="001063FB">
        <w:rPr>
          <w:i/>
        </w:rPr>
        <w:t>, sia in scrittura che in lettura</w:t>
      </w:r>
      <w:r w:rsidRPr="00E366AE">
        <w:t>”.</w:t>
      </w:r>
      <w:r w:rsidR="004409F2" w:rsidRPr="00E366AE">
        <w:t xml:space="preserve"> </w:t>
      </w:r>
    </w:p>
    <w:p w:rsidR="004319B0" w:rsidRDefault="004319B0" w:rsidP="00E366AE">
      <w:pPr>
        <w:pStyle w:val="Testonotaapidipagina"/>
      </w:pPr>
      <w:r w:rsidRPr="00E366AE">
        <w:t xml:space="preserve">Nelle condizioni di contratto di </w:t>
      </w:r>
      <w:proofErr w:type="spellStart"/>
      <w:r w:rsidRPr="00E366AE">
        <w:t>Axios</w:t>
      </w:r>
      <w:proofErr w:type="spellEnd"/>
      <w:r w:rsidRPr="00E366AE">
        <w:t xml:space="preserve"> si legge: “[i]</w:t>
      </w:r>
      <w:r w:rsidRPr="001063FB">
        <w:rPr>
          <w:i/>
        </w:rPr>
        <w:t>l Cliente si impegna a proteggere l’integrità dei dati, contenuti nel database del Programma. Per tale ragione s’impegna a non consentire a terze parti l’accesso sia in scrittura che in lettura, al database stesso</w:t>
      </w:r>
      <w:r w:rsidRPr="00E366AE">
        <w:t>”.</w:t>
      </w:r>
    </w:p>
  </w:footnote>
  <w:footnote w:id="3">
    <w:p w:rsidR="003E35F7" w:rsidRDefault="003E35F7" w:rsidP="00E366AE">
      <w:pPr>
        <w:pStyle w:val="Testonotaapidipagina"/>
      </w:pPr>
      <w:r>
        <w:rPr>
          <w:rStyle w:val="Rimandonotaapidipagina"/>
        </w:rPr>
        <w:footnoteRef/>
      </w:r>
      <w:r>
        <w:t xml:space="preserve"> </w:t>
      </w:r>
      <w:r w:rsidRPr="00E366AE">
        <w:t xml:space="preserve">Nel caso di Argo il file esportato reca il nome dei campi ma non una spiegazione del significato dei dati né una descrizione del campo e dei valori che esso può contenere; manca inoltre un’illustrazione del ruolo delle singole tabelle esportate e delle relazioni tra le stesse. Nel caso di </w:t>
      </w:r>
      <w:proofErr w:type="spellStart"/>
      <w:r w:rsidRPr="00E366AE">
        <w:t>Axios</w:t>
      </w:r>
      <w:proofErr w:type="spellEnd"/>
      <w:r w:rsidRPr="00E366AE">
        <w:t xml:space="preserve"> il file esportato non reca nemmeno l’intestazione dei campi. </w:t>
      </w:r>
    </w:p>
  </w:footnote>
  <w:footnote w:id="4">
    <w:p w:rsidR="002E6FCA" w:rsidRDefault="002E6FCA" w:rsidP="00E366AE">
      <w:pPr>
        <w:pStyle w:val="Testonotaapidipagina"/>
      </w:pPr>
      <w:r>
        <w:rPr>
          <w:rStyle w:val="Rimandonotaapidipagina"/>
        </w:rPr>
        <w:footnoteRef/>
      </w:r>
      <w:r>
        <w:t xml:space="preserve"> </w:t>
      </w:r>
      <w:r w:rsidRPr="00E366AE">
        <w:t>Cfr. Consiglio di Stato, sezione V</w:t>
      </w:r>
      <w:r w:rsidR="00BA5068" w:rsidRPr="00E366AE">
        <w:t>I</w:t>
      </w:r>
      <w:r w:rsidRPr="00E366AE">
        <w:t xml:space="preserve">, </w:t>
      </w:r>
      <w:proofErr w:type="spellStart"/>
      <w:r w:rsidRPr="00E366AE">
        <w:t>sent</w:t>
      </w:r>
      <w:proofErr w:type="spellEnd"/>
      <w:r w:rsidRPr="00E366AE">
        <w:t>. n.</w:t>
      </w:r>
      <w:r w:rsidR="00BA5068" w:rsidRPr="00E366AE">
        <w:t xml:space="preserve"> 1192/2012</w:t>
      </w:r>
      <w:r w:rsidRPr="00E366AE">
        <w:t xml:space="preserve"> del 1</w:t>
      </w:r>
      <w:r w:rsidR="00BA5068" w:rsidRPr="00E366AE">
        <w:t>°</w:t>
      </w:r>
      <w:r w:rsidRPr="00E366AE">
        <w:t xml:space="preserve"> marzo 20</w:t>
      </w:r>
      <w:r w:rsidR="00BA5068" w:rsidRPr="00E366AE">
        <w:t>12</w:t>
      </w:r>
      <w:r w:rsidRPr="00E366AE">
        <w:t xml:space="preserve">, in relazione al caso </w:t>
      </w:r>
      <w:r w:rsidR="00BA5068" w:rsidRPr="00E366AE">
        <w:t>I298 - Mercato dello zolfo grezzo</w:t>
      </w:r>
      <w:r w:rsidRPr="00E366AE">
        <w:t>.</w:t>
      </w:r>
    </w:p>
  </w:footnote>
  <w:footnote w:id="5">
    <w:p w:rsidR="00073EBC" w:rsidRPr="00073EBC" w:rsidRDefault="00073EBC" w:rsidP="00E366AE">
      <w:pPr>
        <w:pStyle w:val="Testonotaapidipagina"/>
        <w:jc w:val="left"/>
      </w:pPr>
      <w:r>
        <w:rPr>
          <w:rStyle w:val="Rimandonotaapidipagina"/>
        </w:rPr>
        <w:footnoteRef/>
      </w:r>
      <w:r w:rsidRPr="00073EBC">
        <w:t xml:space="preserve"> </w:t>
      </w:r>
      <w:r w:rsidRPr="00E366AE">
        <w:t xml:space="preserve">Si veda </w:t>
      </w:r>
      <w:r w:rsidR="001063FB">
        <w:t xml:space="preserve">la </w:t>
      </w:r>
      <w:r w:rsidRPr="00E366AE">
        <w:t>presentazione disponibile all’indirizzo</w:t>
      </w:r>
      <w:r w:rsidRPr="00E366AE">
        <w:rPr>
          <w:sz w:val="19"/>
          <w:szCs w:val="19"/>
        </w:rPr>
        <w:t xml:space="preserve"> </w:t>
      </w:r>
      <w:r w:rsidRPr="001063FB">
        <w:rPr>
          <w:i/>
          <w:sz w:val="18"/>
          <w:szCs w:val="18"/>
        </w:rPr>
        <w:t>http://www.csachieti.it/coge/miur_CoGe_nuovi_software.pdf</w:t>
      </w:r>
      <w:r w:rsidR="002C6A0A" w:rsidRPr="00E366AE">
        <w:rPr>
          <w:sz w:val="19"/>
          <w:szCs w:val="19"/>
        </w:rPr>
        <w:t>.</w:t>
      </w:r>
    </w:p>
  </w:footnote>
  <w:footnote w:id="6">
    <w:p w:rsidR="00A819D8" w:rsidRDefault="00A819D8" w:rsidP="00E366AE">
      <w:pPr>
        <w:pStyle w:val="Testonotaapidipagina"/>
      </w:pPr>
      <w:r>
        <w:rPr>
          <w:rStyle w:val="Rimandonotaapidipagina"/>
        </w:rPr>
        <w:footnoteRef/>
      </w:r>
      <w:r>
        <w:t xml:space="preserve"> </w:t>
      </w:r>
      <w:r w:rsidRPr="00E366AE">
        <w:t xml:space="preserve">Le quali non si contenderebbero i rispettivi clienti, nel senso che l’una non offre i propri applicativi per il registro elettronico e le comunicazioni scuola famiglia alle scuole che adottano il </w:t>
      </w:r>
      <w:r w:rsidRPr="001063FB">
        <w:rPr>
          <w:i/>
        </w:rPr>
        <w:t>software</w:t>
      </w:r>
      <w:r w:rsidRPr="00E366AE">
        <w:t xml:space="preserve"> gestionale dell’altra.</w:t>
      </w:r>
    </w:p>
  </w:footnote>
  <w:footnote w:id="7">
    <w:p w:rsidR="00B36AFE" w:rsidRDefault="00B36AFE" w:rsidP="00E366AE">
      <w:pPr>
        <w:pStyle w:val="Testonotaapidipagina"/>
      </w:pPr>
      <w:r>
        <w:rPr>
          <w:rStyle w:val="Rimandonotaapidipagina"/>
        </w:rPr>
        <w:footnoteRef/>
      </w:r>
      <w:r>
        <w:t xml:space="preserve"> </w:t>
      </w:r>
      <w:r w:rsidRPr="00E366AE">
        <w:t>Cfr. Comunicazione della Commissione “Linee direttrici sulla nozione di pregiudizio al commercio tra Stati membri di cui agli articoli 81 e 82 del Trattato” (2004/C 101/07), punti 78 e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27"/>
    <w:rsid w:val="00014652"/>
    <w:rsid w:val="000155CE"/>
    <w:rsid w:val="000473AD"/>
    <w:rsid w:val="00051388"/>
    <w:rsid w:val="00064A9D"/>
    <w:rsid w:val="00065A96"/>
    <w:rsid w:val="00073EBC"/>
    <w:rsid w:val="000755DC"/>
    <w:rsid w:val="000E318F"/>
    <w:rsid w:val="000F026A"/>
    <w:rsid w:val="00104E70"/>
    <w:rsid w:val="001063FB"/>
    <w:rsid w:val="00134B33"/>
    <w:rsid w:val="00146076"/>
    <w:rsid w:val="001631F8"/>
    <w:rsid w:val="001870F3"/>
    <w:rsid w:val="001955A2"/>
    <w:rsid w:val="001B26A5"/>
    <w:rsid w:val="001B5591"/>
    <w:rsid w:val="00210E78"/>
    <w:rsid w:val="00240FAE"/>
    <w:rsid w:val="00264561"/>
    <w:rsid w:val="002C5D8D"/>
    <w:rsid w:val="002C6A0A"/>
    <w:rsid w:val="002D4999"/>
    <w:rsid w:val="002E1A74"/>
    <w:rsid w:val="002E6FCA"/>
    <w:rsid w:val="002F3159"/>
    <w:rsid w:val="002F348C"/>
    <w:rsid w:val="00301680"/>
    <w:rsid w:val="00312923"/>
    <w:rsid w:val="00323C0A"/>
    <w:rsid w:val="00341670"/>
    <w:rsid w:val="003473DA"/>
    <w:rsid w:val="0038384E"/>
    <w:rsid w:val="00385439"/>
    <w:rsid w:val="003D2AB8"/>
    <w:rsid w:val="003E23B8"/>
    <w:rsid w:val="003E35F7"/>
    <w:rsid w:val="003F015F"/>
    <w:rsid w:val="003F0ACE"/>
    <w:rsid w:val="0040620B"/>
    <w:rsid w:val="004319B0"/>
    <w:rsid w:val="004409F2"/>
    <w:rsid w:val="00441956"/>
    <w:rsid w:val="00441FF6"/>
    <w:rsid w:val="00472D64"/>
    <w:rsid w:val="004C25AD"/>
    <w:rsid w:val="004C437E"/>
    <w:rsid w:val="004C46C5"/>
    <w:rsid w:val="004E6784"/>
    <w:rsid w:val="005065FE"/>
    <w:rsid w:val="00536A79"/>
    <w:rsid w:val="00550EEE"/>
    <w:rsid w:val="00572807"/>
    <w:rsid w:val="00576D0A"/>
    <w:rsid w:val="005A01DD"/>
    <w:rsid w:val="005A0230"/>
    <w:rsid w:val="005E64C7"/>
    <w:rsid w:val="005E64C9"/>
    <w:rsid w:val="0065632C"/>
    <w:rsid w:val="00664F93"/>
    <w:rsid w:val="0066579E"/>
    <w:rsid w:val="00674723"/>
    <w:rsid w:val="006849AB"/>
    <w:rsid w:val="0069073A"/>
    <w:rsid w:val="006A6E28"/>
    <w:rsid w:val="006B5E55"/>
    <w:rsid w:val="006C151E"/>
    <w:rsid w:val="006F439B"/>
    <w:rsid w:val="00704379"/>
    <w:rsid w:val="0070711F"/>
    <w:rsid w:val="007074D6"/>
    <w:rsid w:val="0071088A"/>
    <w:rsid w:val="00714338"/>
    <w:rsid w:val="0072256F"/>
    <w:rsid w:val="00740CF1"/>
    <w:rsid w:val="00742C93"/>
    <w:rsid w:val="00756B68"/>
    <w:rsid w:val="007A2BD7"/>
    <w:rsid w:val="007B151C"/>
    <w:rsid w:val="007B2D06"/>
    <w:rsid w:val="00801969"/>
    <w:rsid w:val="008074A4"/>
    <w:rsid w:val="0081766C"/>
    <w:rsid w:val="00832F78"/>
    <w:rsid w:val="008527F3"/>
    <w:rsid w:val="008C2E9E"/>
    <w:rsid w:val="00926074"/>
    <w:rsid w:val="00950219"/>
    <w:rsid w:val="00950F6E"/>
    <w:rsid w:val="00955374"/>
    <w:rsid w:val="00997367"/>
    <w:rsid w:val="009D7E02"/>
    <w:rsid w:val="009F6760"/>
    <w:rsid w:val="00A0360D"/>
    <w:rsid w:val="00A04CDB"/>
    <w:rsid w:val="00A11A85"/>
    <w:rsid w:val="00A25F99"/>
    <w:rsid w:val="00A53BC7"/>
    <w:rsid w:val="00A819D8"/>
    <w:rsid w:val="00AC0C97"/>
    <w:rsid w:val="00AC5666"/>
    <w:rsid w:val="00AD0CA6"/>
    <w:rsid w:val="00AF216E"/>
    <w:rsid w:val="00AF2468"/>
    <w:rsid w:val="00B06030"/>
    <w:rsid w:val="00B23705"/>
    <w:rsid w:val="00B325EC"/>
    <w:rsid w:val="00B357EB"/>
    <w:rsid w:val="00B36AFE"/>
    <w:rsid w:val="00B7781E"/>
    <w:rsid w:val="00BA1FB0"/>
    <w:rsid w:val="00BA2ADB"/>
    <w:rsid w:val="00BA5068"/>
    <w:rsid w:val="00BC6C77"/>
    <w:rsid w:val="00C00BB0"/>
    <w:rsid w:val="00C016A4"/>
    <w:rsid w:val="00C21533"/>
    <w:rsid w:val="00C31FA0"/>
    <w:rsid w:val="00C35372"/>
    <w:rsid w:val="00C3584A"/>
    <w:rsid w:val="00C52206"/>
    <w:rsid w:val="00CA351B"/>
    <w:rsid w:val="00CA6F0B"/>
    <w:rsid w:val="00CA7506"/>
    <w:rsid w:val="00CB0CBC"/>
    <w:rsid w:val="00CB3D43"/>
    <w:rsid w:val="00CD6DB1"/>
    <w:rsid w:val="00D154E4"/>
    <w:rsid w:val="00D2152B"/>
    <w:rsid w:val="00D40509"/>
    <w:rsid w:val="00D80533"/>
    <w:rsid w:val="00DA331C"/>
    <w:rsid w:val="00DB3C36"/>
    <w:rsid w:val="00DB7E28"/>
    <w:rsid w:val="00DD2318"/>
    <w:rsid w:val="00DF3C3B"/>
    <w:rsid w:val="00E10BFA"/>
    <w:rsid w:val="00E2405E"/>
    <w:rsid w:val="00E30C44"/>
    <w:rsid w:val="00E366AE"/>
    <w:rsid w:val="00E36DD8"/>
    <w:rsid w:val="00E40E62"/>
    <w:rsid w:val="00E67EA6"/>
    <w:rsid w:val="00E71214"/>
    <w:rsid w:val="00E76C3D"/>
    <w:rsid w:val="00E841B9"/>
    <w:rsid w:val="00E91B7B"/>
    <w:rsid w:val="00EB26DC"/>
    <w:rsid w:val="00EE0C3E"/>
    <w:rsid w:val="00F0526A"/>
    <w:rsid w:val="00F123FC"/>
    <w:rsid w:val="00F61A85"/>
    <w:rsid w:val="00F62101"/>
    <w:rsid w:val="00F647DC"/>
    <w:rsid w:val="00F74797"/>
    <w:rsid w:val="00F84BFE"/>
    <w:rsid w:val="00F97FC1"/>
    <w:rsid w:val="00FA18BF"/>
    <w:rsid w:val="00FC7827"/>
    <w:rsid w:val="00FF5A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074D6"/>
    <w:pPr>
      <w:jc w:val="both"/>
    </w:pPr>
    <w:rPr>
      <w:sz w:val="26"/>
      <w:szCs w:val="24"/>
    </w:rPr>
  </w:style>
  <w:style w:type="paragraph" w:styleId="Titolo1">
    <w:name w:val="heading 1"/>
    <w:basedOn w:val="Normale"/>
    <w:next w:val="Normale"/>
    <w:link w:val="Titolo1Carattere"/>
    <w:qFormat/>
    <w:rsid w:val="00CA750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CA750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CA7506"/>
    <w:pPr>
      <w:keepNext/>
      <w:spacing w:before="240" w:after="60"/>
      <w:outlineLvl w:val="2"/>
    </w:pPr>
    <w:rPr>
      <w:rFonts w:ascii="Arial" w:hAnsi="Arial" w:cs="Arial"/>
      <w:b/>
      <w:bCs/>
      <w:szCs w:val="26"/>
    </w:rPr>
  </w:style>
  <w:style w:type="paragraph" w:styleId="Titolo4">
    <w:name w:val="heading 4"/>
    <w:basedOn w:val="Normale"/>
    <w:next w:val="Normale"/>
    <w:link w:val="Titolo4Carattere"/>
    <w:qFormat/>
    <w:rsid w:val="00CA7506"/>
    <w:pPr>
      <w:keepNext/>
      <w:tabs>
        <w:tab w:val="num" w:pos="864"/>
      </w:tabs>
      <w:spacing w:before="240" w:after="60"/>
      <w:ind w:left="864" w:hanging="864"/>
      <w:outlineLvl w:val="3"/>
    </w:pPr>
    <w:rPr>
      <w:b/>
      <w:bCs/>
      <w:sz w:val="28"/>
      <w:szCs w:val="28"/>
    </w:rPr>
  </w:style>
  <w:style w:type="paragraph" w:styleId="Titolo5">
    <w:name w:val="heading 5"/>
    <w:basedOn w:val="Normale"/>
    <w:next w:val="Normale"/>
    <w:link w:val="Titolo5Carattere"/>
    <w:qFormat/>
    <w:rsid w:val="00CA7506"/>
    <w:pPr>
      <w:tabs>
        <w:tab w:val="num" w:pos="1008"/>
      </w:tabs>
      <w:spacing w:before="240" w:after="60"/>
      <w:ind w:left="1008" w:hanging="1008"/>
      <w:outlineLvl w:val="4"/>
    </w:pPr>
    <w:rPr>
      <w:b/>
      <w:bCs/>
      <w:i/>
      <w:iCs/>
      <w:szCs w:val="26"/>
    </w:rPr>
  </w:style>
  <w:style w:type="paragraph" w:styleId="Titolo6">
    <w:name w:val="heading 6"/>
    <w:basedOn w:val="Normale"/>
    <w:next w:val="Normale"/>
    <w:link w:val="Titolo6Carattere"/>
    <w:qFormat/>
    <w:rsid w:val="00CA7506"/>
    <w:pPr>
      <w:tabs>
        <w:tab w:val="num" w:pos="1152"/>
      </w:tabs>
      <w:spacing w:before="240" w:after="60"/>
      <w:ind w:left="1152" w:hanging="1152"/>
      <w:outlineLvl w:val="5"/>
    </w:pPr>
    <w:rPr>
      <w:b/>
      <w:bCs/>
      <w:sz w:val="22"/>
      <w:szCs w:val="22"/>
    </w:rPr>
  </w:style>
  <w:style w:type="paragraph" w:styleId="Titolo7">
    <w:name w:val="heading 7"/>
    <w:basedOn w:val="Normale"/>
    <w:next w:val="Normale"/>
    <w:link w:val="Titolo7Carattere"/>
    <w:qFormat/>
    <w:rsid w:val="00CA7506"/>
    <w:pPr>
      <w:tabs>
        <w:tab w:val="num" w:pos="1296"/>
      </w:tabs>
      <w:spacing w:before="240" w:after="60"/>
      <w:ind w:left="1296" w:hanging="1296"/>
      <w:outlineLvl w:val="6"/>
    </w:pPr>
  </w:style>
  <w:style w:type="paragraph" w:styleId="Titolo8">
    <w:name w:val="heading 8"/>
    <w:basedOn w:val="Normale"/>
    <w:next w:val="Normale"/>
    <w:link w:val="Titolo8Carattere"/>
    <w:qFormat/>
    <w:rsid w:val="00CA7506"/>
    <w:pPr>
      <w:tabs>
        <w:tab w:val="num" w:pos="1440"/>
      </w:tabs>
      <w:spacing w:before="240" w:after="60"/>
      <w:ind w:left="1440" w:hanging="1440"/>
      <w:outlineLvl w:val="7"/>
    </w:pPr>
    <w:rPr>
      <w:i/>
      <w:iCs/>
    </w:rPr>
  </w:style>
  <w:style w:type="paragraph" w:styleId="Titolo9">
    <w:name w:val="heading 9"/>
    <w:basedOn w:val="Normale"/>
    <w:next w:val="Normale"/>
    <w:link w:val="Titolo9Carattere"/>
    <w:qFormat/>
    <w:rsid w:val="00CA7506"/>
    <w:pPr>
      <w:tabs>
        <w:tab w:val="num" w:pos="1584"/>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TabFonti">
    <w:name w:val="Provv Tab Fonti"/>
    <w:basedOn w:val="Normale"/>
    <w:next w:val="Normale"/>
    <w:pPr>
      <w:tabs>
        <w:tab w:val="left" w:pos="4842"/>
      </w:tabs>
    </w:pPr>
    <w:rPr>
      <w:sz w:val="20"/>
      <w:szCs w:val="20"/>
    </w:rPr>
  </w:style>
  <w:style w:type="paragraph" w:customStyle="1" w:styleId="ProvvTabTesto">
    <w:name w:val="Provv Tab Testo"/>
    <w:rPr>
      <w:sz w:val="24"/>
    </w:rPr>
  </w:style>
  <w:style w:type="paragraph" w:customStyle="1" w:styleId="ProvvTabTitolo">
    <w:name w:val="Provv Tab Titolo"/>
    <w:next w:val="Normale"/>
    <w:pPr>
      <w:spacing w:after="120"/>
    </w:pPr>
    <w:rPr>
      <w:b/>
      <w:i/>
      <w:sz w:val="24"/>
    </w:rPr>
  </w:style>
  <w:style w:type="paragraph" w:customStyle="1" w:styleId="ProvvTitolo10">
    <w:name w:val="Provv Titolo 1.0"/>
    <w:next w:val="Normale"/>
    <w:pPr>
      <w:keepNext/>
    </w:pPr>
    <w:rPr>
      <w:b/>
      <w:caps/>
      <w:sz w:val="28"/>
    </w:rPr>
  </w:style>
  <w:style w:type="paragraph" w:customStyle="1" w:styleId="ProvvTitolo11">
    <w:name w:val="Provv Titolo 1.1"/>
    <w:next w:val="Normale"/>
    <w:pPr>
      <w:keepNext/>
    </w:pPr>
    <w:rPr>
      <w:i/>
      <w:caps/>
      <w:sz w:val="28"/>
    </w:rPr>
  </w:style>
  <w:style w:type="paragraph" w:customStyle="1" w:styleId="ProvvTitolo20">
    <w:name w:val="Provv Titolo 2.0"/>
    <w:next w:val="Normale"/>
    <w:pPr>
      <w:keepNext/>
    </w:pPr>
    <w:rPr>
      <w:b/>
      <w:i/>
      <w:sz w:val="28"/>
    </w:rPr>
  </w:style>
  <w:style w:type="paragraph" w:customStyle="1" w:styleId="ProvvTitolo21">
    <w:name w:val="Provv Titolo 2.1"/>
    <w:next w:val="Normale"/>
    <w:pPr>
      <w:keepNext/>
    </w:pPr>
    <w:rPr>
      <w:b/>
      <w:sz w:val="28"/>
    </w:rPr>
  </w:style>
  <w:style w:type="paragraph" w:customStyle="1" w:styleId="ProvvTitolo30">
    <w:name w:val="Provv Titolo 3.0"/>
    <w:next w:val="Normale"/>
    <w:pPr>
      <w:keepNext/>
    </w:pPr>
    <w:rPr>
      <w:i/>
      <w:sz w:val="28"/>
    </w:rPr>
  </w:style>
  <w:style w:type="paragraph" w:customStyle="1" w:styleId="ProvvTitolo31">
    <w:name w:val="Provv Titolo 3.1"/>
    <w:basedOn w:val="Normale"/>
    <w:next w:val="Normale"/>
    <w:pPr>
      <w:keepNext/>
    </w:pPr>
  </w:style>
  <w:style w:type="character" w:customStyle="1" w:styleId="Titolo1Carattere">
    <w:name w:val="Titolo 1 Carattere"/>
    <w:basedOn w:val="Carpredefinitoparagrafo"/>
    <w:link w:val="Titolo1"/>
    <w:rsid w:val="00CA7506"/>
    <w:rPr>
      <w:rFonts w:ascii="Arial" w:hAnsi="Arial" w:cs="Arial"/>
      <w:b/>
      <w:bCs/>
      <w:kern w:val="32"/>
      <w:sz w:val="32"/>
      <w:szCs w:val="32"/>
    </w:rPr>
  </w:style>
  <w:style w:type="character" w:customStyle="1" w:styleId="Titolo2Carattere">
    <w:name w:val="Titolo 2 Carattere"/>
    <w:basedOn w:val="Carpredefinitoparagrafo"/>
    <w:link w:val="Titolo2"/>
    <w:rsid w:val="00CA7506"/>
    <w:rPr>
      <w:rFonts w:ascii="Arial" w:hAnsi="Arial" w:cs="Arial"/>
      <w:b/>
      <w:bCs/>
      <w:i/>
      <w:iCs/>
      <w:sz w:val="28"/>
      <w:szCs w:val="28"/>
    </w:rPr>
  </w:style>
  <w:style w:type="character" w:customStyle="1" w:styleId="Titolo3Carattere">
    <w:name w:val="Titolo 3 Carattere"/>
    <w:basedOn w:val="Carpredefinitoparagrafo"/>
    <w:link w:val="Titolo3"/>
    <w:rsid w:val="00CA7506"/>
    <w:rPr>
      <w:rFonts w:ascii="Arial" w:hAnsi="Arial" w:cs="Arial"/>
      <w:b/>
      <w:bCs/>
      <w:sz w:val="26"/>
      <w:szCs w:val="26"/>
    </w:rPr>
  </w:style>
  <w:style w:type="character" w:customStyle="1" w:styleId="Titolo4Carattere">
    <w:name w:val="Titolo 4 Carattere"/>
    <w:basedOn w:val="Carpredefinitoparagrafo"/>
    <w:link w:val="Titolo4"/>
    <w:rsid w:val="00CA7506"/>
    <w:rPr>
      <w:b/>
      <w:bCs/>
      <w:sz w:val="28"/>
      <w:szCs w:val="28"/>
    </w:rPr>
  </w:style>
  <w:style w:type="character" w:customStyle="1" w:styleId="Titolo5Carattere">
    <w:name w:val="Titolo 5 Carattere"/>
    <w:basedOn w:val="Carpredefinitoparagrafo"/>
    <w:link w:val="Titolo5"/>
    <w:rsid w:val="00CA7506"/>
    <w:rPr>
      <w:b/>
      <w:bCs/>
      <w:i/>
      <w:iCs/>
      <w:sz w:val="26"/>
      <w:szCs w:val="26"/>
    </w:rPr>
  </w:style>
  <w:style w:type="character" w:customStyle="1" w:styleId="Titolo6Carattere">
    <w:name w:val="Titolo 6 Carattere"/>
    <w:basedOn w:val="Carpredefinitoparagrafo"/>
    <w:link w:val="Titolo6"/>
    <w:rsid w:val="00CA7506"/>
    <w:rPr>
      <w:b/>
      <w:bCs/>
      <w:sz w:val="22"/>
      <w:szCs w:val="22"/>
    </w:rPr>
  </w:style>
  <w:style w:type="character" w:customStyle="1" w:styleId="Titolo7Carattere">
    <w:name w:val="Titolo 7 Carattere"/>
    <w:basedOn w:val="Carpredefinitoparagrafo"/>
    <w:link w:val="Titolo7"/>
    <w:rsid w:val="00CA7506"/>
    <w:rPr>
      <w:sz w:val="24"/>
      <w:szCs w:val="24"/>
    </w:rPr>
  </w:style>
  <w:style w:type="character" w:customStyle="1" w:styleId="Titolo8Carattere">
    <w:name w:val="Titolo 8 Carattere"/>
    <w:basedOn w:val="Carpredefinitoparagrafo"/>
    <w:link w:val="Titolo8"/>
    <w:rsid w:val="00CA7506"/>
    <w:rPr>
      <w:i/>
      <w:iCs/>
      <w:sz w:val="24"/>
      <w:szCs w:val="24"/>
    </w:rPr>
  </w:style>
  <w:style w:type="character" w:customStyle="1" w:styleId="Titolo9Carattere">
    <w:name w:val="Titolo 9 Carattere"/>
    <w:basedOn w:val="Carpredefinitoparagrafo"/>
    <w:link w:val="Titolo9"/>
    <w:rsid w:val="00CA7506"/>
    <w:rPr>
      <w:rFonts w:ascii="Arial" w:hAnsi="Arial" w:cs="Arial"/>
      <w:sz w:val="22"/>
      <w:szCs w:val="22"/>
    </w:rPr>
  </w:style>
  <w:style w:type="paragraph" w:styleId="Didascalia">
    <w:name w:val="caption"/>
    <w:basedOn w:val="Normale"/>
    <w:next w:val="Normale"/>
    <w:qFormat/>
    <w:rsid w:val="00CA7506"/>
    <w:pPr>
      <w:spacing w:before="120" w:after="120"/>
    </w:pPr>
    <w:rPr>
      <w:b/>
      <w:bCs/>
      <w:sz w:val="20"/>
      <w:szCs w:val="20"/>
    </w:rPr>
  </w:style>
  <w:style w:type="table" w:styleId="Grigliatabella">
    <w:name w:val="Table Grid"/>
    <w:basedOn w:val="Tabellanormale"/>
    <w:rsid w:val="00DF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2E6FCA"/>
    <w:rPr>
      <w:sz w:val="20"/>
      <w:szCs w:val="20"/>
    </w:rPr>
  </w:style>
  <w:style w:type="character" w:customStyle="1" w:styleId="TestonotaapidipaginaCarattere">
    <w:name w:val="Testo nota a piè di pagina Carattere"/>
    <w:basedOn w:val="Carpredefinitoparagrafo"/>
    <w:link w:val="Testonotaapidipagina"/>
    <w:rsid w:val="002E6FCA"/>
  </w:style>
  <w:style w:type="character" w:styleId="Rimandonotaapidipagina">
    <w:name w:val="footnote reference"/>
    <w:basedOn w:val="Carpredefinitoparagrafo"/>
    <w:rsid w:val="002E6FCA"/>
    <w:rPr>
      <w:vertAlign w:val="superscript"/>
    </w:rPr>
  </w:style>
  <w:style w:type="paragraph" w:styleId="Testofumetto">
    <w:name w:val="Balloon Text"/>
    <w:basedOn w:val="Normale"/>
    <w:link w:val="TestofumettoCarattere"/>
    <w:rsid w:val="00C00BB0"/>
    <w:rPr>
      <w:rFonts w:ascii="Tahoma" w:hAnsi="Tahoma" w:cs="Tahoma"/>
      <w:sz w:val="16"/>
      <w:szCs w:val="16"/>
    </w:rPr>
  </w:style>
  <w:style w:type="character" w:customStyle="1" w:styleId="TestofumettoCarattere">
    <w:name w:val="Testo fumetto Carattere"/>
    <w:basedOn w:val="Carpredefinitoparagrafo"/>
    <w:link w:val="Testofumetto"/>
    <w:rsid w:val="00C00BB0"/>
    <w:rPr>
      <w:rFonts w:ascii="Tahoma" w:hAnsi="Tahoma" w:cs="Tahoma"/>
      <w:sz w:val="16"/>
      <w:szCs w:val="16"/>
    </w:rPr>
  </w:style>
  <w:style w:type="paragraph" w:styleId="Intestazione">
    <w:name w:val="header"/>
    <w:basedOn w:val="Normale"/>
    <w:link w:val="IntestazioneCarattere"/>
    <w:rsid w:val="00E366AE"/>
    <w:pPr>
      <w:tabs>
        <w:tab w:val="center" w:pos="4819"/>
        <w:tab w:val="right" w:pos="9638"/>
      </w:tabs>
    </w:pPr>
  </w:style>
  <w:style w:type="character" w:customStyle="1" w:styleId="IntestazioneCarattere">
    <w:name w:val="Intestazione Carattere"/>
    <w:basedOn w:val="Carpredefinitoparagrafo"/>
    <w:link w:val="Intestazione"/>
    <w:rsid w:val="00E366AE"/>
    <w:rPr>
      <w:sz w:val="26"/>
      <w:szCs w:val="24"/>
    </w:rPr>
  </w:style>
  <w:style w:type="paragraph" w:styleId="Pidipagina">
    <w:name w:val="footer"/>
    <w:basedOn w:val="Normale"/>
    <w:link w:val="PidipaginaCarattere"/>
    <w:rsid w:val="00E366AE"/>
    <w:pPr>
      <w:tabs>
        <w:tab w:val="center" w:pos="4819"/>
        <w:tab w:val="right" w:pos="9638"/>
      </w:tabs>
    </w:pPr>
  </w:style>
  <w:style w:type="character" w:customStyle="1" w:styleId="PidipaginaCarattere">
    <w:name w:val="Piè di pagina Carattere"/>
    <w:basedOn w:val="Carpredefinitoparagrafo"/>
    <w:link w:val="Pidipagina"/>
    <w:rsid w:val="00E366AE"/>
    <w:rPr>
      <w:sz w:val="26"/>
      <w:szCs w:val="24"/>
    </w:rPr>
  </w:style>
  <w:style w:type="character" w:styleId="Numeropagina">
    <w:name w:val="page number"/>
    <w:basedOn w:val="Carpredefinitoparagrafo"/>
    <w:rsid w:val="00E366AE"/>
    <w:rPr>
      <w:rFonts w:ascii="Times New Roman" w:hAnsi="Times New Roman" w:cs="Times New Roman"/>
      <w:sz w:val="16"/>
    </w:rPr>
  </w:style>
  <w:style w:type="paragraph" w:styleId="Paragrafoelenco">
    <w:name w:val="List Paragraph"/>
    <w:basedOn w:val="Normale"/>
    <w:uiPriority w:val="34"/>
    <w:qFormat/>
    <w:rsid w:val="00E36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074D6"/>
    <w:pPr>
      <w:jc w:val="both"/>
    </w:pPr>
    <w:rPr>
      <w:sz w:val="26"/>
      <w:szCs w:val="24"/>
    </w:rPr>
  </w:style>
  <w:style w:type="paragraph" w:styleId="Titolo1">
    <w:name w:val="heading 1"/>
    <w:basedOn w:val="Normale"/>
    <w:next w:val="Normale"/>
    <w:link w:val="Titolo1Carattere"/>
    <w:qFormat/>
    <w:rsid w:val="00CA750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CA750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CA7506"/>
    <w:pPr>
      <w:keepNext/>
      <w:spacing w:before="240" w:after="60"/>
      <w:outlineLvl w:val="2"/>
    </w:pPr>
    <w:rPr>
      <w:rFonts w:ascii="Arial" w:hAnsi="Arial" w:cs="Arial"/>
      <w:b/>
      <w:bCs/>
      <w:szCs w:val="26"/>
    </w:rPr>
  </w:style>
  <w:style w:type="paragraph" w:styleId="Titolo4">
    <w:name w:val="heading 4"/>
    <w:basedOn w:val="Normale"/>
    <w:next w:val="Normale"/>
    <w:link w:val="Titolo4Carattere"/>
    <w:qFormat/>
    <w:rsid w:val="00CA7506"/>
    <w:pPr>
      <w:keepNext/>
      <w:tabs>
        <w:tab w:val="num" w:pos="864"/>
      </w:tabs>
      <w:spacing w:before="240" w:after="60"/>
      <w:ind w:left="864" w:hanging="864"/>
      <w:outlineLvl w:val="3"/>
    </w:pPr>
    <w:rPr>
      <w:b/>
      <w:bCs/>
      <w:sz w:val="28"/>
      <w:szCs w:val="28"/>
    </w:rPr>
  </w:style>
  <w:style w:type="paragraph" w:styleId="Titolo5">
    <w:name w:val="heading 5"/>
    <w:basedOn w:val="Normale"/>
    <w:next w:val="Normale"/>
    <w:link w:val="Titolo5Carattere"/>
    <w:qFormat/>
    <w:rsid w:val="00CA7506"/>
    <w:pPr>
      <w:tabs>
        <w:tab w:val="num" w:pos="1008"/>
      </w:tabs>
      <w:spacing w:before="240" w:after="60"/>
      <w:ind w:left="1008" w:hanging="1008"/>
      <w:outlineLvl w:val="4"/>
    </w:pPr>
    <w:rPr>
      <w:b/>
      <w:bCs/>
      <w:i/>
      <w:iCs/>
      <w:szCs w:val="26"/>
    </w:rPr>
  </w:style>
  <w:style w:type="paragraph" w:styleId="Titolo6">
    <w:name w:val="heading 6"/>
    <w:basedOn w:val="Normale"/>
    <w:next w:val="Normale"/>
    <w:link w:val="Titolo6Carattere"/>
    <w:qFormat/>
    <w:rsid w:val="00CA7506"/>
    <w:pPr>
      <w:tabs>
        <w:tab w:val="num" w:pos="1152"/>
      </w:tabs>
      <w:spacing w:before="240" w:after="60"/>
      <w:ind w:left="1152" w:hanging="1152"/>
      <w:outlineLvl w:val="5"/>
    </w:pPr>
    <w:rPr>
      <w:b/>
      <w:bCs/>
      <w:sz w:val="22"/>
      <w:szCs w:val="22"/>
    </w:rPr>
  </w:style>
  <w:style w:type="paragraph" w:styleId="Titolo7">
    <w:name w:val="heading 7"/>
    <w:basedOn w:val="Normale"/>
    <w:next w:val="Normale"/>
    <w:link w:val="Titolo7Carattere"/>
    <w:qFormat/>
    <w:rsid w:val="00CA7506"/>
    <w:pPr>
      <w:tabs>
        <w:tab w:val="num" w:pos="1296"/>
      </w:tabs>
      <w:spacing w:before="240" w:after="60"/>
      <w:ind w:left="1296" w:hanging="1296"/>
      <w:outlineLvl w:val="6"/>
    </w:pPr>
  </w:style>
  <w:style w:type="paragraph" w:styleId="Titolo8">
    <w:name w:val="heading 8"/>
    <w:basedOn w:val="Normale"/>
    <w:next w:val="Normale"/>
    <w:link w:val="Titolo8Carattere"/>
    <w:qFormat/>
    <w:rsid w:val="00CA7506"/>
    <w:pPr>
      <w:tabs>
        <w:tab w:val="num" w:pos="1440"/>
      </w:tabs>
      <w:spacing w:before="240" w:after="60"/>
      <w:ind w:left="1440" w:hanging="1440"/>
      <w:outlineLvl w:val="7"/>
    </w:pPr>
    <w:rPr>
      <w:i/>
      <w:iCs/>
    </w:rPr>
  </w:style>
  <w:style w:type="paragraph" w:styleId="Titolo9">
    <w:name w:val="heading 9"/>
    <w:basedOn w:val="Normale"/>
    <w:next w:val="Normale"/>
    <w:link w:val="Titolo9Carattere"/>
    <w:qFormat/>
    <w:rsid w:val="00CA7506"/>
    <w:pPr>
      <w:tabs>
        <w:tab w:val="num" w:pos="1584"/>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TabFonti">
    <w:name w:val="Provv Tab Fonti"/>
    <w:basedOn w:val="Normale"/>
    <w:next w:val="Normale"/>
    <w:pPr>
      <w:tabs>
        <w:tab w:val="left" w:pos="4842"/>
      </w:tabs>
    </w:pPr>
    <w:rPr>
      <w:sz w:val="20"/>
      <w:szCs w:val="20"/>
    </w:rPr>
  </w:style>
  <w:style w:type="paragraph" w:customStyle="1" w:styleId="ProvvTabTesto">
    <w:name w:val="Provv Tab Testo"/>
    <w:rPr>
      <w:sz w:val="24"/>
    </w:rPr>
  </w:style>
  <w:style w:type="paragraph" w:customStyle="1" w:styleId="ProvvTabTitolo">
    <w:name w:val="Provv Tab Titolo"/>
    <w:next w:val="Normale"/>
    <w:pPr>
      <w:spacing w:after="120"/>
    </w:pPr>
    <w:rPr>
      <w:b/>
      <w:i/>
      <w:sz w:val="24"/>
    </w:rPr>
  </w:style>
  <w:style w:type="paragraph" w:customStyle="1" w:styleId="ProvvTitolo10">
    <w:name w:val="Provv Titolo 1.0"/>
    <w:next w:val="Normale"/>
    <w:pPr>
      <w:keepNext/>
    </w:pPr>
    <w:rPr>
      <w:b/>
      <w:caps/>
      <w:sz w:val="28"/>
    </w:rPr>
  </w:style>
  <w:style w:type="paragraph" w:customStyle="1" w:styleId="ProvvTitolo11">
    <w:name w:val="Provv Titolo 1.1"/>
    <w:next w:val="Normale"/>
    <w:pPr>
      <w:keepNext/>
    </w:pPr>
    <w:rPr>
      <w:i/>
      <w:caps/>
      <w:sz w:val="28"/>
    </w:rPr>
  </w:style>
  <w:style w:type="paragraph" w:customStyle="1" w:styleId="ProvvTitolo20">
    <w:name w:val="Provv Titolo 2.0"/>
    <w:next w:val="Normale"/>
    <w:pPr>
      <w:keepNext/>
    </w:pPr>
    <w:rPr>
      <w:b/>
      <w:i/>
      <w:sz w:val="28"/>
    </w:rPr>
  </w:style>
  <w:style w:type="paragraph" w:customStyle="1" w:styleId="ProvvTitolo21">
    <w:name w:val="Provv Titolo 2.1"/>
    <w:next w:val="Normale"/>
    <w:pPr>
      <w:keepNext/>
    </w:pPr>
    <w:rPr>
      <w:b/>
      <w:sz w:val="28"/>
    </w:rPr>
  </w:style>
  <w:style w:type="paragraph" w:customStyle="1" w:styleId="ProvvTitolo30">
    <w:name w:val="Provv Titolo 3.0"/>
    <w:next w:val="Normale"/>
    <w:pPr>
      <w:keepNext/>
    </w:pPr>
    <w:rPr>
      <w:i/>
      <w:sz w:val="28"/>
    </w:rPr>
  </w:style>
  <w:style w:type="paragraph" w:customStyle="1" w:styleId="ProvvTitolo31">
    <w:name w:val="Provv Titolo 3.1"/>
    <w:basedOn w:val="Normale"/>
    <w:next w:val="Normale"/>
    <w:pPr>
      <w:keepNext/>
    </w:pPr>
  </w:style>
  <w:style w:type="character" w:customStyle="1" w:styleId="Titolo1Carattere">
    <w:name w:val="Titolo 1 Carattere"/>
    <w:basedOn w:val="Carpredefinitoparagrafo"/>
    <w:link w:val="Titolo1"/>
    <w:rsid w:val="00CA7506"/>
    <w:rPr>
      <w:rFonts w:ascii="Arial" w:hAnsi="Arial" w:cs="Arial"/>
      <w:b/>
      <w:bCs/>
      <w:kern w:val="32"/>
      <w:sz w:val="32"/>
      <w:szCs w:val="32"/>
    </w:rPr>
  </w:style>
  <w:style w:type="character" w:customStyle="1" w:styleId="Titolo2Carattere">
    <w:name w:val="Titolo 2 Carattere"/>
    <w:basedOn w:val="Carpredefinitoparagrafo"/>
    <w:link w:val="Titolo2"/>
    <w:rsid w:val="00CA7506"/>
    <w:rPr>
      <w:rFonts w:ascii="Arial" w:hAnsi="Arial" w:cs="Arial"/>
      <w:b/>
      <w:bCs/>
      <w:i/>
      <w:iCs/>
      <w:sz w:val="28"/>
      <w:szCs w:val="28"/>
    </w:rPr>
  </w:style>
  <w:style w:type="character" w:customStyle="1" w:styleId="Titolo3Carattere">
    <w:name w:val="Titolo 3 Carattere"/>
    <w:basedOn w:val="Carpredefinitoparagrafo"/>
    <w:link w:val="Titolo3"/>
    <w:rsid w:val="00CA7506"/>
    <w:rPr>
      <w:rFonts w:ascii="Arial" w:hAnsi="Arial" w:cs="Arial"/>
      <w:b/>
      <w:bCs/>
      <w:sz w:val="26"/>
      <w:szCs w:val="26"/>
    </w:rPr>
  </w:style>
  <w:style w:type="character" w:customStyle="1" w:styleId="Titolo4Carattere">
    <w:name w:val="Titolo 4 Carattere"/>
    <w:basedOn w:val="Carpredefinitoparagrafo"/>
    <w:link w:val="Titolo4"/>
    <w:rsid w:val="00CA7506"/>
    <w:rPr>
      <w:b/>
      <w:bCs/>
      <w:sz w:val="28"/>
      <w:szCs w:val="28"/>
    </w:rPr>
  </w:style>
  <w:style w:type="character" w:customStyle="1" w:styleId="Titolo5Carattere">
    <w:name w:val="Titolo 5 Carattere"/>
    <w:basedOn w:val="Carpredefinitoparagrafo"/>
    <w:link w:val="Titolo5"/>
    <w:rsid w:val="00CA7506"/>
    <w:rPr>
      <w:b/>
      <w:bCs/>
      <w:i/>
      <w:iCs/>
      <w:sz w:val="26"/>
      <w:szCs w:val="26"/>
    </w:rPr>
  </w:style>
  <w:style w:type="character" w:customStyle="1" w:styleId="Titolo6Carattere">
    <w:name w:val="Titolo 6 Carattere"/>
    <w:basedOn w:val="Carpredefinitoparagrafo"/>
    <w:link w:val="Titolo6"/>
    <w:rsid w:val="00CA7506"/>
    <w:rPr>
      <w:b/>
      <w:bCs/>
      <w:sz w:val="22"/>
      <w:szCs w:val="22"/>
    </w:rPr>
  </w:style>
  <w:style w:type="character" w:customStyle="1" w:styleId="Titolo7Carattere">
    <w:name w:val="Titolo 7 Carattere"/>
    <w:basedOn w:val="Carpredefinitoparagrafo"/>
    <w:link w:val="Titolo7"/>
    <w:rsid w:val="00CA7506"/>
    <w:rPr>
      <w:sz w:val="24"/>
      <w:szCs w:val="24"/>
    </w:rPr>
  </w:style>
  <w:style w:type="character" w:customStyle="1" w:styleId="Titolo8Carattere">
    <w:name w:val="Titolo 8 Carattere"/>
    <w:basedOn w:val="Carpredefinitoparagrafo"/>
    <w:link w:val="Titolo8"/>
    <w:rsid w:val="00CA7506"/>
    <w:rPr>
      <w:i/>
      <w:iCs/>
      <w:sz w:val="24"/>
      <w:szCs w:val="24"/>
    </w:rPr>
  </w:style>
  <w:style w:type="character" w:customStyle="1" w:styleId="Titolo9Carattere">
    <w:name w:val="Titolo 9 Carattere"/>
    <w:basedOn w:val="Carpredefinitoparagrafo"/>
    <w:link w:val="Titolo9"/>
    <w:rsid w:val="00CA7506"/>
    <w:rPr>
      <w:rFonts w:ascii="Arial" w:hAnsi="Arial" w:cs="Arial"/>
      <w:sz w:val="22"/>
      <w:szCs w:val="22"/>
    </w:rPr>
  </w:style>
  <w:style w:type="paragraph" w:styleId="Didascalia">
    <w:name w:val="caption"/>
    <w:basedOn w:val="Normale"/>
    <w:next w:val="Normale"/>
    <w:qFormat/>
    <w:rsid w:val="00CA7506"/>
    <w:pPr>
      <w:spacing w:before="120" w:after="120"/>
    </w:pPr>
    <w:rPr>
      <w:b/>
      <w:bCs/>
      <w:sz w:val="20"/>
      <w:szCs w:val="20"/>
    </w:rPr>
  </w:style>
  <w:style w:type="table" w:styleId="Grigliatabella">
    <w:name w:val="Table Grid"/>
    <w:basedOn w:val="Tabellanormale"/>
    <w:rsid w:val="00DF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2E6FCA"/>
    <w:rPr>
      <w:sz w:val="20"/>
      <w:szCs w:val="20"/>
    </w:rPr>
  </w:style>
  <w:style w:type="character" w:customStyle="1" w:styleId="TestonotaapidipaginaCarattere">
    <w:name w:val="Testo nota a piè di pagina Carattere"/>
    <w:basedOn w:val="Carpredefinitoparagrafo"/>
    <w:link w:val="Testonotaapidipagina"/>
    <w:rsid w:val="002E6FCA"/>
  </w:style>
  <w:style w:type="character" w:styleId="Rimandonotaapidipagina">
    <w:name w:val="footnote reference"/>
    <w:basedOn w:val="Carpredefinitoparagrafo"/>
    <w:rsid w:val="002E6FCA"/>
    <w:rPr>
      <w:vertAlign w:val="superscript"/>
    </w:rPr>
  </w:style>
  <w:style w:type="paragraph" w:styleId="Testofumetto">
    <w:name w:val="Balloon Text"/>
    <w:basedOn w:val="Normale"/>
    <w:link w:val="TestofumettoCarattere"/>
    <w:rsid w:val="00C00BB0"/>
    <w:rPr>
      <w:rFonts w:ascii="Tahoma" w:hAnsi="Tahoma" w:cs="Tahoma"/>
      <w:sz w:val="16"/>
      <w:szCs w:val="16"/>
    </w:rPr>
  </w:style>
  <w:style w:type="character" w:customStyle="1" w:styleId="TestofumettoCarattere">
    <w:name w:val="Testo fumetto Carattere"/>
    <w:basedOn w:val="Carpredefinitoparagrafo"/>
    <w:link w:val="Testofumetto"/>
    <w:rsid w:val="00C00BB0"/>
    <w:rPr>
      <w:rFonts w:ascii="Tahoma" w:hAnsi="Tahoma" w:cs="Tahoma"/>
      <w:sz w:val="16"/>
      <w:szCs w:val="16"/>
    </w:rPr>
  </w:style>
  <w:style w:type="paragraph" w:styleId="Intestazione">
    <w:name w:val="header"/>
    <w:basedOn w:val="Normale"/>
    <w:link w:val="IntestazioneCarattere"/>
    <w:rsid w:val="00E366AE"/>
    <w:pPr>
      <w:tabs>
        <w:tab w:val="center" w:pos="4819"/>
        <w:tab w:val="right" w:pos="9638"/>
      </w:tabs>
    </w:pPr>
  </w:style>
  <w:style w:type="character" w:customStyle="1" w:styleId="IntestazioneCarattere">
    <w:name w:val="Intestazione Carattere"/>
    <w:basedOn w:val="Carpredefinitoparagrafo"/>
    <w:link w:val="Intestazione"/>
    <w:rsid w:val="00E366AE"/>
    <w:rPr>
      <w:sz w:val="26"/>
      <w:szCs w:val="24"/>
    </w:rPr>
  </w:style>
  <w:style w:type="paragraph" w:styleId="Pidipagina">
    <w:name w:val="footer"/>
    <w:basedOn w:val="Normale"/>
    <w:link w:val="PidipaginaCarattere"/>
    <w:rsid w:val="00E366AE"/>
    <w:pPr>
      <w:tabs>
        <w:tab w:val="center" w:pos="4819"/>
        <w:tab w:val="right" w:pos="9638"/>
      </w:tabs>
    </w:pPr>
  </w:style>
  <w:style w:type="character" w:customStyle="1" w:styleId="PidipaginaCarattere">
    <w:name w:val="Piè di pagina Carattere"/>
    <w:basedOn w:val="Carpredefinitoparagrafo"/>
    <w:link w:val="Pidipagina"/>
    <w:rsid w:val="00E366AE"/>
    <w:rPr>
      <w:sz w:val="26"/>
      <w:szCs w:val="24"/>
    </w:rPr>
  </w:style>
  <w:style w:type="character" w:styleId="Numeropagina">
    <w:name w:val="page number"/>
    <w:basedOn w:val="Carpredefinitoparagrafo"/>
    <w:rsid w:val="00E366AE"/>
    <w:rPr>
      <w:rFonts w:ascii="Times New Roman" w:hAnsi="Times New Roman" w:cs="Times New Roman"/>
      <w:sz w:val="16"/>
    </w:rPr>
  </w:style>
  <w:style w:type="paragraph" w:styleId="Paragrafoelenco">
    <w:name w:val="List Paragraph"/>
    <w:basedOn w:val="Normale"/>
    <w:uiPriority w:val="34"/>
    <w:qFormat/>
    <w:rsid w:val="00E36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6F80-13FA-4114-A52D-739F0A75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16892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y</vt:lpstr>
    </vt:vector>
  </TitlesOfParts>
  <Company>AGCM</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y</dc:subject>
  <dc:creator>Livia CALABRESE</dc:creator>
  <cp:keywords>LP/COMP</cp:keywords>
  <cp:lastModifiedBy>Francesca MELCHIORRI</cp:lastModifiedBy>
  <cp:revision>2</cp:revision>
  <dcterms:created xsi:type="dcterms:W3CDTF">2014-04-15T11:27:00Z</dcterms:created>
  <dcterms:modified xsi:type="dcterms:W3CDTF">2014-04-15T11:27:00Z</dcterms:modified>
</cp:coreProperties>
</file>